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3"/>
        <w:tblpPr w:bottomFromText="0" w:horzAnchor="margin" w:leftFromText="180" w:rightFromText="180" w:tblpX="-811" w:tblpY="975" w:topFromText="0" w:vertAnchor="margin"/>
        <w:tblW w:w="1629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695"/>
        <w:gridCol w:w="1597"/>
        <w:gridCol w:w="1136"/>
        <w:gridCol w:w="1330"/>
        <w:gridCol w:w="1133"/>
        <w:gridCol w:w="1276"/>
        <w:gridCol w:w="1276"/>
        <w:gridCol w:w="992"/>
        <w:gridCol w:w="988"/>
        <w:gridCol w:w="1224"/>
        <w:gridCol w:w="1418"/>
        <w:gridCol w:w="669"/>
      </w:tblGrid>
      <w:tr>
        <w:trPr>
          <w:trHeight w:val="873" w:hRule="atLeast"/>
        </w:trPr>
        <w:tc>
          <w:tcPr>
            <w:tcW w:w="562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 xml:space="preserve">  № </w:t>
            </w: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п/п</w:t>
            </w:r>
          </w:p>
        </w:tc>
        <w:tc>
          <w:tcPr>
            <w:tcW w:w="2695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Фамилия и инициалы лица, чьи сведения размещаются</w:t>
            </w:r>
          </w:p>
        </w:tc>
        <w:tc>
          <w:tcPr>
            <w:tcW w:w="1597" w:type="dxa"/>
            <w:vMerge w:val="restart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Должность</w:t>
            </w:r>
          </w:p>
        </w:tc>
        <w:tc>
          <w:tcPr>
            <w:tcW w:w="4875" w:type="dxa"/>
            <w:gridSpan w:val="4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 xml:space="preserve">Объекты недвижимости, </w:t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находящиеся в собственности</w:t>
            </w:r>
          </w:p>
        </w:tc>
        <w:tc>
          <w:tcPr>
            <w:tcW w:w="3256" w:type="dxa"/>
            <w:gridSpan w:val="3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Декларированный годовой доход (руб.)</w:t>
            </w:r>
          </w:p>
        </w:tc>
        <w:tc>
          <w:tcPr>
            <w:tcW w:w="669" w:type="dxa"/>
            <w:vMerge w:val="restart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2143" w:hRule="atLeast"/>
          <w:cantSplit w:val="true"/>
        </w:trPr>
        <w:tc>
          <w:tcPr>
            <w:tcW w:w="562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2695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597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6" w:type="dxa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Вид объекта</w:t>
            </w:r>
          </w:p>
        </w:tc>
        <w:tc>
          <w:tcPr>
            <w:tcW w:w="1330" w:type="dxa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Вид собственности</w:t>
            </w:r>
          </w:p>
        </w:tc>
        <w:tc>
          <w:tcPr>
            <w:tcW w:w="1133" w:type="dxa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площадь (кв. м)</w:t>
            </w:r>
          </w:p>
        </w:tc>
        <w:tc>
          <w:tcPr>
            <w:tcW w:w="1276" w:type="dxa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страна расположения</w:t>
            </w:r>
          </w:p>
        </w:tc>
        <w:tc>
          <w:tcPr>
            <w:tcW w:w="1276" w:type="dxa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Вид объекта</w:t>
            </w:r>
          </w:p>
        </w:tc>
        <w:tc>
          <w:tcPr>
            <w:tcW w:w="992" w:type="dxa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площадь (кв. м)</w:t>
            </w:r>
          </w:p>
        </w:tc>
        <w:tc>
          <w:tcPr>
            <w:tcW w:w="988" w:type="dxa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  <w:kern w:val="0"/>
                <w:szCs w:val="22"/>
                <w:lang w:val="ru-RU" w:bidi="ar-SA"/>
              </w:rPr>
              <w:t>страна расположения</w:t>
            </w:r>
          </w:p>
        </w:tc>
        <w:tc>
          <w:tcPr>
            <w:tcW w:w="1224" w:type="dxa"/>
            <w:vMerge w:val="continue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669" w:type="dxa"/>
            <w:vMerge w:val="continue"/>
            <w:tcBorders/>
            <w:shd w:color="auto" w:fill="auto" w:val="clear"/>
            <w:textDirection w:val="btLr"/>
          </w:tcPr>
          <w:p>
            <w:pPr>
              <w:pStyle w:val="NoSpacing"/>
              <w:widowControl/>
              <w:suppressAutoHyphens w:val="true"/>
              <w:spacing w:before="0" w:after="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0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Атабиева Светлана Хамидовна</w:t>
            </w:r>
          </w:p>
        </w:tc>
        <w:tc>
          <w:tcPr>
            <w:tcW w:w="1597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Ведущий консультант-юрист отдела финансово-экономической, кадровой и правовой работы 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(для размещ. домов индивидуальной жил. застройки)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221,0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221,0</w:t>
            </w:r>
          </w:p>
        </w:tc>
        <w:tc>
          <w:tcPr>
            <w:tcW w:w="9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Фольксваген Поло (индивид.)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365827,49</w:t>
            </w:r>
          </w:p>
        </w:tc>
        <w:tc>
          <w:tcPr>
            <w:tcW w:w="66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0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Биджиева Диана Мунировна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консультант отдела цифровых проектов и программ цифровизации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50,1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607391,55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0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Давыдова Аксинья Дмитриевна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советник отдела финансово-экономической, кадровой и правовой работы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62,2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642076,25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4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0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Катчиева Альбина Казбековна 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Советник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32,0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606185,29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Костенко Андрей Сергеевич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Супруга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консультант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Жилой дом 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(1/5)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(1/5)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2998,0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53,7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71,0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жил. строит.)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72,6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308,0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ВАЗ 21124 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594115,43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649231,05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Костенко Салима Зауровна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Супруг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советник отдела цифровых проектов и программ цифровизации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Жилой дом </w:t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(1/5)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(1/5)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71,0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2998,0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53,7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жил. строит.)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72,6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308,0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ВАЗ 21124 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649231,05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594115,43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Кубанова Сусана Маджировна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Ведущий консультант отдела цифровых проектов и программ цифровизвции 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816514,51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Кятов Руслан Нурбиевич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Начальник отдела цифровых проектов и программ цифровизации 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(для размещения домов индивид. жилой застройки)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218,6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820,0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Форд Фокус 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830573,91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9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Лайпанова Аминат Руслановна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Супруг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консультант-юрист отдела финансово-экономической, правовой и кадровой работы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жилищное строительство</w:t>
              <w:br/>
              <w:t>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жилищное строительство</w:t>
              <w:br/>
              <w:t>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жилищное строительство</w:t>
              <w:br/>
              <w:t>)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198,1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1242,0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198,1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1242,0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198,1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1242,0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Лада Приора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Тойота Камри 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399823,02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14345296,00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10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  <w:t>Мижева Елизавета Талибовна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ascii="Calibri" w:hAnsi="Calibri" w:eastAsia="新細明體" w:asciiTheme="minorHAnsi" w:eastAsiaTheme="minorEastAsia" w:hAnsiTheme="minorHAnsi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консультант отдела цифрового государственного управления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Индивидуальная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50,5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50,5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Хундай Элантра 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736308,73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17457,00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11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  <w:t>Михайлович Владимир Анатольевич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Начальник отдела инфраструктурных проектов и связи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Индивидуальная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1200,0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(приусадебный)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151,0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934,0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Тойота Камри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Газ 3110 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440181,06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618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12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  <w:t>Охрименко Александр Евгеньевич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  <w:t xml:space="preserve">Супруга 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sz w:val="22"/>
                <w:szCs w:val="22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103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Начальник отдела цифрового государственного управления </w:t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Жилой дом 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800,0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261,2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800,0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261,2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жилищное строительство)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жилищное строительство)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жилищное строительство)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Жилой дом 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(для размещения домов индивид. жилой застройки)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89,9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1500,0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89,9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1500,0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89,9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1500,0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261,2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800,0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Оpel Zafira B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ИЖ 27171-030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Шкода Oktavia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АФ-77Ф1ВJ PHASER 135TI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Автопогрузчик вилочный ТСМ </w:t>
            </w:r>
            <w:r>
              <w:rPr>
                <w:rFonts w:cs="Times New Roman" w:ascii="Times New Roman" w:hAnsi="Times New Roman"/>
                <w:kern w:val="0"/>
                <w:szCs w:val="22"/>
                <w:lang w:val="en-US" w:bidi="ar-SA"/>
              </w:rPr>
              <w:t>FHD</w:t>
            </w: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 25</w:t>
            </w:r>
            <w:r>
              <w:rPr>
                <w:rFonts w:cs="Times New Roman" w:ascii="Times New Roman" w:hAnsi="Times New Roman"/>
                <w:kern w:val="0"/>
                <w:szCs w:val="22"/>
                <w:lang w:val="en-US" w:bidi="ar-SA"/>
              </w:rPr>
              <w:t>Z</w:t>
            </w: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 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679239,72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210057,04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766" w:hRule="atLeast"/>
        </w:trPr>
        <w:tc>
          <w:tcPr>
            <w:tcW w:w="562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13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Переславцев Илья Валериевич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Супруга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советник отдела цифрового государственного управления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1330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Обшая долевая (1/5)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Обшая долевая (1/6)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Обшая долевая (1/5)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Обшая долевая (1/5)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74,2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59,7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74,2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74,2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9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2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Киа Соул (индивид.)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684466,80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144892,39</w:t>
            </w:r>
          </w:p>
        </w:tc>
        <w:tc>
          <w:tcPr>
            <w:tcW w:w="66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664" w:hRule="atLeast"/>
        </w:trPr>
        <w:tc>
          <w:tcPr>
            <w:tcW w:w="562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14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Семенова Лолита Аслановна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Супруг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97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Начальник отдела инфраструктурных проектов и связи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1330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(1/3)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56,6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56,6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56,6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56,6</w:t>
            </w:r>
          </w:p>
        </w:tc>
        <w:tc>
          <w:tcPr>
            <w:tcW w:w="9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Опель Астра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Дервейс 313103 (индивид.)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606223,23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13050,00</w:t>
            </w:r>
          </w:p>
        </w:tc>
        <w:tc>
          <w:tcPr>
            <w:tcW w:w="66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766" w:hRule="atLeast"/>
        </w:trPr>
        <w:tc>
          <w:tcPr>
            <w:tcW w:w="562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Тугова Белла Мухамедовна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Супруг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советник отдела цифрового государственного управления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1330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Индивидуальная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Индивидуальная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(1/3)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Индивидуальная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(1/3)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(1/3)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700,0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36,4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84,7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31,1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84,7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84,7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62,9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84,7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62,9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62,9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62,9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62,9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9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2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Вольво </w:t>
            </w:r>
            <w:r>
              <w:rPr>
                <w:rFonts w:cs="Times New Roman" w:ascii="Times New Roman" w:hAnsi="Times New Roman"/>
                <w:kern w:val="0"/>
                <w:szCs w:val="22"/>
                <w:lang w:val="en-US" w:bidi="ar-SA"/>
              </w:rPr>
              <w:t>S</w:t>
            </w: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40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Киа </w:t>
            </w:r>
            <w:r>
              <w:rPr>
                <w:rFonts w:cs="Times New Roman" w:ascii="Times New Roman" w:hAnsi="Times New Roman"/>
                <w:kern w:val="0"/>
                <w:szCs w:val="22"/>
                <w:lang w:val="en-US" w:bidi="ar-SA"/>
              </w:rPr>
              <w:t>Seed (</w:t>
            </w: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Лада Веста </w:t>
            </w:r>
            <w:r>
              <w:rPr>
                <w:rFonts w:cs="Times New Roman" w:ascii="Times New Roman" w:hAnsi="Times New Roman"/>
                <w:kern w:val="0"/>
                <w:szCs w:val="22"/>
                <w:lang w:val="en-US" w:bidi="ar-SA"/>
              </w:rPr>
              <w:t>SW</w:t>
            </w: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Cs w:val="22"/>
                <w:lang w:val="en-US" w:bidi="ar-SA"/>
              </w:rPr>
              <w:t>Cross</w:t>
            </w: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 (индивид.)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623331,74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4216692,23</w:t>
            </w:r>
          </w:p>
        </w:tc>
        <w:tc>
          <w:tcPr>
            <w:tcW w:w="66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1766" w:hRule="atLeast"/>
        </w:trPr>
        <w:tc>
          <w:tcPr>
            <w:tcW w:w="562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16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Узденова Аминат Али-Муратовна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597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Ведущий советник отдела финансово-экономической, кадровой и правовой работы 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</w:tc>
        <w:tc>
          <w:tcPr>
            <w:tcW w:w="1330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Индивидуальная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50,2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61,1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61,1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Квартира 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61,1</w:t>
            </w:r>
          </w:p>
        </w:tc>
        <w:tc>
          <w:tcPr>
            <w:tcW w:w="9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Фольксваген туарег (индивид.)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881698,21</w:t>
            </w:r>
          </w:p>
        </w:tc>
        <w:tc>
          <w:tcPr>
            <w:tcW w:w="66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664" w:hRule="atLeast"/>
        </w:trPr>
        <w:tc>
          <w:tcPr>
            <w:tcW w:w="562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17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Хапаева Мадина Магометалиевна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Начальник отдела-главный бухгалтер отдела финансово-экономической, кадровой и правовой работы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(1/8)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(1/8)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(3/8)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(3/8)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(3/8)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(3/8)</w:t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3231,6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476,0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3231,6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476,0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3231,6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476,0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9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2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БМВ Х6М (индивид.)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1174936,65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66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664" w:hRule="atLeast"/>
        </w:trPr>
        <w:tc>
          <w:tcPr>
            <w:tcW w:w="562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18</w:t>
            </w:r>
          </w:p>
        </w:tc>
        <w:tc>
          <w:tcPr>
            <w:tcW w:w="2695" w:type="dxa"/>
            <w:tcBorders/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Якушева Валентина Сергеевна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Супруг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Ведущий советник</w:t>
            </w:r>
          </w:p>
        </w:tc>
        <w:tc>
          <w:tcPr>
            <w:tcW w:w="113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330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 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долевая(1/2)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долевая(1/7)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Общая долевая(1/7)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133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36,3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36,3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609,0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156,4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82,4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82,4</w:t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  <w:tc>
          <w:tcPr>
            <w:tcW w:w="1276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жил. строит.)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жил. строит.)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 индивид. жил. строит.)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Земельный участок (под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 xml:space="preserve"> индивид. жил. строит.)</w:t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609,0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156,4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609,0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156,4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609,0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156,4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609,0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156,4</w:t>
            </w:r>
          </w:p>
        </w:tc>
        <w:tc>
          <w:tcPr>
            <w:tcW w:w="988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Россия</w:t>
            </w:r>
          </w:p>
        </w:tc>
        <w:tc>
          <w:tcPr>
            <w:tcW w:w="1224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Лада Ларгус(индивид.)</w:t>
            </w:r>
          </w:p>
        </w:tc>
        <w:tc>
          <w:tcPr>
            <w:tcW w:w="1418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en-US" w:bidi="ar-SA"/>
              </w:rPr>
              <w:t>909315</w:t>
            </w: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,33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  <w:t>12000,00</w:t>
            </w:r>
          </w:p>
        </w:tc>
        <w:tc>
          <w:tcPr>
            <w:tcW w:w="669" w:type="dxa"/>
            <w:tcBorders/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  <w:tr>
        <w:trPr>
          <w:trHeight w:val="664" w:hRule="atLeast"/>
        </w:trPr>
        <w:tc>
          <w:tcPr>
            <w:tcW w:w="562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19</w:t>
            </w:r>
          </w:p>
        </w:tc>
        <w:tc>
          <w:tcPr>
            <w:tcW w:w="2695" w:type="dxa"/>
            <w:tcBorders>
              <w:top w:val="nil"/>
            </w:tcBorders>
            <w:shd w:color="auto" w:fill="auto" w:val="clear"/>
          </w:tcPr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  <w:t>Беляков Станислав Сергеевич</w:t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</w:r>
          </w:p>
          <w:p>
            <w:pPr>
              <w:pStyle w:val="BodyText3"/>
              <w:widowControl/>
              <w:suppressAutoHyphens w:val="true"/>
              <w:spacing w:lineRule="exact" w:line="240" w:before="0" w:after="0"/>
              <w:ind w:right="34" w:hanging="0"/>
              <w:jc w:val="left"/>
              <w:rPr>
                <w:kern w:val="0"/>
                <w:sz w:val="22"/>
                <w:szCs w:val="22"/>
                <w:shd w:fill="auto" w:val="clear"/>
                <w:lang w:val="ru-RU" w:bidi="ar-SA"/>
              </w:rPr>
            </w:pPr>
            <w:r>
              <w:rPr>
                <w:rFonts w:eastAsia="新細明體" w:eastAsiaTheme="minorEastAsia"/>
                <w:kern w:val="0"/>
                <w:sz w:val="22"/>
                <w:szCs w:val="22"/>
                <w:shd w:fill="auto" w:val="clear"/>
                <w:lang w:val="ru-RU" w:bidi="ar-SA"/>
              </w:rPr>
              <w:t>Несовершеннолетний ребенок</w:t>
            </w:r>
          </w:p>
        </w:tc>
        <w:tc>
          <w:tcPr>
            <w:tcW w:w="159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Руководитель подведомственного Министерству учреждения -  директор Карачаево-Черкесского республиканского государственного автономного учреждения «Центр развития связи и коммуникаций»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</w:tc>
        <w:tc>
          <w:tcPr>
            <w:tcW w:w="113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 xml:space="preserve">Земельный участок 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ind w:right="-39" w:hanging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Квартира</w:t>
            </w:r>
          </w:p>
        </w:tc>
        <w:tc>
          <w:tcPr>
            <w:tcW w:w="1330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Общая долевая (1/3)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Индивидуальная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Общая долевая (1/3)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Общая долевая (1/2)</w:t>
            </w:r>
          </w:p>
        </w:tc>
        <w:tc>
          <w:tcPr>
            <w:tcW w:w="1133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60,0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655,0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59,9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69,9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Россия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Квартира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Жилой дом</w:t>
            </w:r>
          </w:p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Земельный участок (под индивид. жил. строит.)</w:t>
            </w:r>
          </w:p>
        </w:tc>
        <w:tc>
          <w:tcPr>
            <w:tcW w:w="99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69,9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72,1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687,0</w:t>
            </w:r>
          </w:p>
        </w:tc>
        <w:tc>
          <w:tcPr>
            <w:tcW w:w="9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ind w:left="-371" w:firstLine="371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Россия</w:t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Россия</w:t>
            </w:r>
          </w:p>
        </w:tc>
        <w:tc>
          <w:tcPr>
            <w:tcW w:w="1224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КИА Оптима(индивид.)</w:t>
            </w:r>
          </w:p>
        </w:tc>
        <w:tc>
          <w:tcPr>
            <w:tcW w:w="141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  <w:kern w:val="0"/>
                <w:szCs w:val="22"/>
                <w:shd w:fill="auto" w:val="clear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shd w:fill="auto" w:val="clear"/>
                <w:lang w:val="ru-RU" w:bidi="ar-SA"/>
              </w:rPr>
              <w:t>1878872,88</w:t>
            </w:r>
          </w:p>
        </w:tc>
        <w:tc>
          <w:tcPr>
            <w:tcW w:w="66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uppressAutoHyphens w:val="true"/>
              <w:spacing w:lineRule="exac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Cs w:val="22"/>
                <w:lang w:val="ru-RU" w:bidi="ar-SA"/>
              </w:rPr>
            </w:r>
          </w:p>
        </w:tc>
      </w:tr>
    </w:tbl>
    <w:p>
      <w:pPr>
        <w:pStyle w:val="Normal"/>
        <w:spacing w:lineRule="exact" w:line="240" w:before="0" w:after="0"/>
        <w:rPr>
          <w:rFonts w:ascii="Times New Roman" w:hAnsi="Times New Roman" w:cs="Times New Roman"/>
        </w:rPr>
      </w:pPr>
      <w:r>
        <w:rPr/>
      </w:r>
    </w:p>
    <w:sectPr>
      <w:type w:val="nextPage"/>
      <w:pgSz w:orient="landscape" w:w="16838" w:h="11906"/>
      <w:pgMar w:left="1134" w:right="1134" w:header="0" w:top="284" w:footer="0" w:bottom="568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50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新細明體" w:asciiTheme="minorHAnsi" w:eastAsiaTheme="minorEastAsia" w:hAnsiTheme="minorHAns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3 Знак"/>
    <w:basedOn w:val="DefaultParagraphFont"/>
    <w:link w:val="3"/>
    <w:qFormat/>
    <w:rsid w:val="00e23a69"/>
    <w:rPr>
      <w:rFonts w:eastAsia="Times New Roman" w:cs="Times New Roman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e23a69"/>
    <w:rPr>
      <w:rFonts w:ascii="Calibri" w:hAnsi="Calibri" w:eastAsia="新細明體" w:asciiTheme="minorHAnsi" w:eastAsiaTheme="minorEastAsia" w:hAnsiTheme="minorHAnsi"/>
      <w:sz w:val="22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23a69"/>
    <w:rPr>
      <w:rFonts w:ascii="Calibri" w:hAnsi="Calibri" w:eastAsia="新細明體" w:asciiTheme="minorHAnsi" w:eastAsiaTheme="minorEastAsia" w:hAnsiTheme="minorHAnsi"/>
      <w:sz w:val="22"/>
      <w:lang w:eastAsia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7d5d0b"/>
    <w:rPr>
      <w:rFonts w:ascii="Tahoma" w:hAnsi="Tahoma" w:eastAsia="新細明體" w:cs="Tahoma" w:eastAsiaTheme="minorEastAsia"/>
      <w:sz w:val="16"/>
      <w:szCs w:val="16"/>
      <w:lang w:eastAsia="ru-RU"/>
    </w:rPr>
  </w:style>
  <w:style w:type="character" w:styleId="Style17" w:customStyle="1">
    <w:name w:val="Символ нумерации"/>
    <w:qFormat/>
    <w:rPr/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9">
    <w:name w:val="Body Text"/>
    <w:basedOn w:val="Normal"/>
    <w:pPr>
      <w:spacing w:before="0" w:after="140"/>
    </w:pPr>
    <w:rPr/>
  </w:style>
  <w:style w:type="paragraph" w:styleId="Style20">
    <w:name w:val="List"/>
    <w:basedOn w:val="Style19"/>
    <w:pPr/>
    <w:rPr>
      <w:rFonts w:cs="Droid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rsid w:val="00e23a69"/>
    <w:pPr>
      <w:widowControl/>
      <w:suppressAutoHyphens w:val="true"/>
      <w:bidi w:val="0"/>
      <w:spacing w:before="0" w:after="0"/>
      <w:jc w:val="left"/>
    </w:pPr>
    <w:rPr>
      <w:rFonts w:ascii="Calibri" w:hAnsi="Calibri" w:eastAsia="新細明體" w:asciiTheme="minorHAnsi" w:eastAsiaTheme="minorEastAsia" w:hAnsiTheme="minorHAnsi" w:cs=""/>
      <w:color w:val="auto"/>
      <w:kern w:val="0"/>
      <w:sz w:val="22"/>
      <w:szCs w:val="22"/>
      <w:lang w:eastAsia="ru-RU" w:val="ru-RU" w:bidi="ar-SA"/>
    </w:rPr>
  </w:style>
  <w:style w:type="paragraph" w:styleId="BodyText3">
    <w:name w:val="Body Text 3"/>
    <w:basedOn w:val="Normal"/>
    <w:qFormat/>
    <w:rsid w:val="00e23a69"/>
    <w:pPr>
      <w:spacing w:lineRule="auto" w:line="240" w:before="0" w:after="0"/>
      <w:ind w:right="-341" w:hanging="0"/>
    </w:pPr>
    <w:rPr>
      <w:rFonts w:ascii="Times New Roman" w:hAnsi="Times New Roman" w:eastAsia="Times New Roman" w:cs="Times New Roman"/>
      <w:sz w:val="28"/>
      <w:szCs w:val="20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e23a6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uiPriority w:val="99"/>
    <w:unhideWhenUsed/>
    <w:rsid w:val="00e23a6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7d5d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rsid w:val="00e23a69"/>
    <w:rPr>
      <w:rFonts w:asciiTheme="minorHAnsi" w:hAnsiTheme="minorHAnsi" w:eastAsiaTheme="minorEastAsia"/>
      <w:lang w:eastAsia="ru-RU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36B5-D5A9-4ACE-A660-CA1A027E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LibreOffice/7.0.6.2$Linux_X86_64 LibreOffice_project/00$Build-2</Application>
  <AppVersion>15.0000</AppVersion>
  <Pages>9</Pages>
  <Words>932</Words>
  <Characters>6530</Characters>
  <CharactersWithSpaces>7006</CharactersWithSpaces>
  <Paragraphs>477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2023-05-18T08:34:00Z</dcterms:created>
  <dc:creator>mcx219</dc:creator>
  <dc:description/>
  <dc:language>ru-RU</dc:language>
  <cp:lastModifiedBy/>
  <cp:lastPrinted>2021-05-26T13:27:00Z</cp:lastPrinted>
  <dcterms:modified xsi:type="dcterms:W3CDTF">2023-05-18T11:38:05Z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