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77" w:rsidRDefault="000B1077" w:rsidP="000B1077">
      <w:pPr>
        <w:pStyle w:val="2"/>
        <w:shd w:val="clear" w:color="auto" w:fill="FFFFFF"/>
        <w:spacing w:before="0" w:beforeAutospacing="0" w:after="0" w:afterAutospacing="0"/>
        <w:rPr>
          <w:rFonts w:ascii="Verdana" w:hAnsi="Verdana" w:cs="Arial"/>
          <w:color w:val="66BB66"/>
          <w:sz w:val="29"/>
          <w:szCs w:val="29"/>
        </w:rPr>
      </w:pPr>
      <w:r>
        <w:rPr>
          <w:rFonts w:ascii="Verdana" w:hAnsi="Verdana" w:cs="Arial"/>
          <w:color w:val="66BB66"/>
          <w:sz w:val="29"/>
          <w:szCs w:val="29"/>
        </w:rPr>
        <w:t>Информация о среднемесячной заработной плате руководителя, его заместителей и главного бухгалтера</w:t>
      </w:r>
    </w:p>
    <w:p w:rsidR="000B1077" w:rsidRDefault="000B1077" w:rsidP="000B1077">
      <w:pPr>
        <w:shd w:val="clear" w:color="auto" w:fill="FFFFFF"/>
        <w:ind w:left="720"/>
        <w:jc w:val="right"/>
        <w:rPr>
          <w:rFonts w:ascii="Arial" w:hAnsi="Arial" w:cs="Arial"/>
          <w:color w:val="999999"/>
          <w:sz w:val="17"/>
          <w:szCs w:val="17"/>
        </w:rPr>
      </w:pPr>
      <w:r>
        <w:rPr>
          <w:rFonts w:ascii="Arial" w:hAnsi="Arial" w:cs="Arial"/>
          <w:color w:val="999999"/>
          <w:sz w:val="17"/>
          <w:szCs w:val="17"/>
        </w:rPr>
        <w:t>Обновлено: 04 апреля 2023</w:t>
      </w:r>
    </w:p>
    <w:p w:rsidR="000B1077" w:rsidRDefault="000B1077" w:rsidP="000B1077">
      <w:pPr>
        <w:pStyle w:val="3"/>
        <w:shd w:val="clear" w:color="auto" w:fill="FFFFFF"/>
        <w:spacing w:before="0"/>
        <w:jc w:val="center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t>Информация о среднемесячной заработной плате руководителя, его заместителей и главного бухгалтера федерального государственного бюджетного образовательного учреждения высшего образования «Вологодский государственный университет» за 2022 год</w:t>
      </w:r>
    </w:p>
    <w:tbl>
      <w:tblPr>
        <w:tblW w:w="110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5410"/>
        <w:gridCol w:w="2783"/>
        <w:gridCol w:w="2199"/>
      </w:tblGrid>
      <w:tr w:rsidR="000B1077" w:rsidTr="000B1077">
        <w:tc>
          <w:tcPr>
            <w:tcW w:w="549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1077" w:rsidRDefault="000B1077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1077" w:rsidRDefault="000B1077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1077" w:rsidRDefault="000B1077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Фамилия, имя, отчество</w:t>
            </w:r>
          </w:p>
        </w:tc>
        <w:tc>
          <w:tcPr>
            <w:tcW w:w="2199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1077" w:rsidRDefault="000B107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Среднемесячная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заработная плата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(руб.)</w:t>
            </w:r>
          </w:p>
        </w:tc>
      </w:tr>
      <w:tr w:rsidR="000B1077" w:rsidTr="000B107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Вячеслав Викторович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342 884,96</w:t>
            </w:r>
          </w:p>
        </w:tc>
      </w:tr>
      <w:tr w:rsidR="000B1077" w:rsidTr="000B107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инфраструктурному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Олег Иванович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248 068,62</w:t>
            </w:r>
          </w:p>
        </w:tc>
      </w:tr>
      <w:tr w:rsidR="000B1077" w:rsidTr="000B107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Светлана Борисовна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209 426,92</w:t>
            </w:r>
          </w:p>
        </w:tc>
      </w:tr>
      <w:tr w:rsidR="000B1077" w:rsidTr="000B107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Наталья Эдуардовна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203 090,00</w:t>
            </w:r>
          </w:p>
        </w:tc>
      </w:tr>
      <w:tr w:rsidR="000B1077" w:rsidTr="000B107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Елена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B1077" w:rsidRDefault="000B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209 308,09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0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3ED5-F3AC-46DA-A5DE-5C1CA76C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2023-05-22T06:22:00Z</dcterms:modified>
</cp:coreProperties>
</file>