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B62" w:rsidRDefault="00723B62" w:rsidP="00723B62">
      <w:pPr>
        <w:pStyle w:val="1"/>
        <w:spacing w:before="0" w:after="150"/>
        <w:rPr>
          <w:rFonts w:ascii="Arial" w:hAnsi="Arial" w:cs="Arial"/>
          <w:color w:val="000000"/>
          <w:sz w:val="30"/>
          <w:szCs w:val="30"/>
          <w:lang w:eastAsia="ru-RU"/>
        </w:rPr>
      </w:pPr>
      <w:r>
        <w:rPr>
          <w:rFonts w:ascii="Arial" w:hAnsi="Arial" w:cs="Arial"/>
          <w:color w:val="000000"/>
          <w:sz w:val="30"/>
          <w:szCs w:val="30"/>
        </w:rPr>
        <w:t>Сведения о доходах, расходах, об имуществе и обязательствах имущественного характера</w:t>
      </w:r>
    </w:p>
    <w:p w:rsidR="00723B62" w:rsidRDefault="00723B62" w:rsidP="00723B6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соответствии с </w:t>
      </w:r>
      <w:r>
        <w:rPr>
          <w:rStyle w:val="a8"/>
          <w:rFonts w:ascii="Arial" w:hAnsi="Arial" w:cs="Arial"/>
          <w:color w:val="000000"/>
          <w:sz w:val="23"/>
          <w:szCs w:val="23"/>
        </w:rPr>
        <w:t>Указом Президента Российской Федерации от</w:t>
      </w:r>
      <w:r>
        <w:rPr>
          <w:rFonts w:ascii="Arial" w:hAnsi="Arial" w:cs="Arial"/>
          <w:color w:val="000000"/>
          <w:sz w:val="23"/>
          <w:szCs w:val="23"/>
        </w:rPr>
        <w:t> 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установлено,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723B62" w:rsidRDefault="00723B62" w:rsidP="00723B62">
      <w:pPr>
        <w:pStyle w:val="a3"/>
        <w:spacing w:before="0" w:beforeAutospacing="0" w:after="225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ж)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года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243221" w:rsidRDefault="00243221" w:rsidP="001C34A2"/>
    <w:p w:rsidR="00723B62" w:rsidRDefault="00723B62" w:rsidP="00723B62">
      <w:pPr>
        <w:pStyle w:val="1"/>
        <w:spacing w:before="0" w:after="150"/>
        <w:rPr>
          <w:rFonts w:ascii="Arial" w:hAnsi="Arial" w:cs="Arial"/>
          <w:color w:val="000000"/>
          <w:sz w:val="30"/>
          <w:szCs w:val="30"/>
          <w:lang w:eastAsia="ru-RU"/>
        </w:rPr>
      </w:pPr>
      <w:r>
        <w:rPr>
          <w:rFonts w:ascii="Arial" w:hAnsi="Arial" w:cs="Arial"/>
          <w:color w:val="000000"/>
          <w:sz w:val="30"/>
          <w:szCs w:val="30"/>
        </w:rPr>
        <w:t>Сведения о доходах, расходах депутатов 7 созыва</w:t>
      </w:r>
    </w:p>
    <w:p w:rsidR="00723B62" w:rsidRDefault="00723B62" w:rsidP="00723B62">
      <w:pPr>
        <w:pStyle w:val="a3"/>
        <w:spacing w:before="0" w:beforeAutospacing="0" w:after="225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 исполнение требований части 7 статьи 19 Федерального закона от 21 декабря 2021 года № 414-ФЗ «Об общих принципах организации публичной власти в субъектах Российской Федерации», части 6 статьи 5 Закона Новосибирской области от 25 декабря 2006 года № 81-ОЗ «О статусе депутата Законодательного Собрания Новосибирской области» все депутаты Законодательного Собрания Новосибирской области седьмого созыва в срок до 1 апреля 2023 года представили сведения о доходах, расходах, об имуществе и обязательствах имущественного характера за 2022 год.</w:t>
      </w:r>
    </w:p>
    <w:p w:rsidR="00723B62" w:rsidRDefault="00723B62" w:rsidP="00723B62">
      <w:pPr>
        <w:pStyle w:val="a3"/>
        <w:spacing w:before="0" w:beforeAutospacing="0" w:after="225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(Дата: 20.04.2023)</w:t>
      </w:r>
    </w:p>
    <w:p w:rsidR="00723B62" w:rsidRPr="001C34A2" w:rsidRDefault="00723B62" w:rsidP="001C34A2">
      <w:bookmarkStart w:id="0" w:name="_GoBack"/>
      <w:bookmarkEnd w:id="0"/>
    </w:p>
    <w:sectPr w:rsidR="00723B6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3B6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9F31"/>
  <w15:docId w15:val="{4ED518EE-F490-4E8E-AFA6-8B17554F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723B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2023-04-21T06:46:00Z</dcterms:modified>
</cp:coreProperties>
</file>