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E7" w:rsidRPr="007C0E9A" w:rsidRDefault="00EE40E7" w:rsidP="00792065">
      <w:pPr>
        <w:pStyle w:val="a8"/>
        <w:spacing w:before="51"/>
        <w:ind w:right="26"/>
        <w:jc w:val="center"/>
        <w:rPr>
          <w:rFonts w:ascii="Times New Roman" w:hAnsi="Times New Roman"/>
          <w:b/>
        </w:rPr>
      </w:pPr>
      <w:r w:rsidRPr="007C0E9A">
        <w:rPr>
          <w:rFonts w:ascii="Times New Roman" w:hAnsi="Times New Roman"/>
          <w:b/>
          <w:spacing w:val="-1"/>
        </w:rPr>
        <w:t>Сведения</w:t>
      </w:r>
      <w:r w:rsidRPr="007C0E9A">
        <w:rPr>
          <w:rFonts w:ascii="Times New Roman" w:hAnsi="Times New Roman"/>
          <w:b/>
          <w:spacing w:val="-2"/>
        </w:rPr>
        <w:t xml:space="preserve"> </w:t>
      </w:r>
      <w:r w:rsidRPr="007C0E9A">
        <w:rPr>
          <w:rFonts w:ascii="Times New Roman" w:hAnsi="Times New Roman"/>
          <w:b/>
        </w:rPr>
        <w:t>о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доходах, об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 xml:space="preserve">имуществе </w:t>
      </w:r>
      <w:r w:rsidRPr="007C0E9A">
        <w:rPr>
          <w:rFonts w:ascii="Times New Roman" w:hAnsi="Times New Roman"/>
          <w:b/>
        </w:rPr>
        <w:t>и</w:t>
      </w:r>
      <w:r w:rsidRPr="007C0E9A">
        <w:rPr>
          <w:rFonts w:ascii="Times New Roman" w:hAnsi="Times New Roman"/>
          <w:b/>
          <w:spacing w:val="-4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обязательствах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имущественного</w:t>
      </w:r>
      <w:r w:rsidRPr="007C0E9A">
        <w:rPr>
          <w:rFonts w:ascii="Times New Roman" w:hAnsi="Times New Roman"/>
          <w:b/>
          <w:spacing w:val="-3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характера</w:t>
      </w:r>
      <w:r w:rsidRPr="007C0E9A">
        <w:rPr>
          <w:rFonts w:ascii="Times New Roman" w:hAnsi="Times New Roman"/>
          <w:b/>
          <w:spacing w:val="5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муниципальных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служащих</w:t>
      </w:r>
      <w:r w:rsidRPr="007C0E9A">
        <w:rPr>
          <w:rFonts w:ascii="Times New Roman" w:hAnsi="Times New Roman"/>
          <w:b/>
          <w:spacing w:val="49"/>
        </w:rPr>
        <w:t xml:space="preserve"> </w:t>
      </w:r>
      <w:r>
        <w:rPr>
          <w:rFonts w:ascii="Times New Roman" w:hAnsi="Times New Roman"/>
          <w:b/>
          <w:spacing w:val="-1"/>
        </w:rPr>
        <w:t>Счетной палаты города Липецка</w:t>
      </w:r>
      <w:r w:rsidRPr="007C0E9A">
        <w:rPr>
          <w:rFonts w:ascii="Times New Roman" w:hAnsi="Times New Roman"/>
          <w:b/>
          <w:spacing w:val="-1"/>
        </w:rPr>
        <w:t>, а также их</w:t>
      </w:r>
      <w:r w:rsidRPr="007C0E9A">
        <w:rPr>
          <w:rFonts w:ascii="Times New Roman" w:hAnsi="Times New Roman"/>
          <w:b/>
          <w:spacing w:val="-3"/>
        </w:rPr>
        <w:t xml:space="preserve"> </w:t>
      </w:r>
      <w:r w:rsidRPr="007C0E9A">
        <w:rPr>
          <w:rFonts w:ascii="Times New Roman" w:hAnsi="Times New Roman"/>
          <w:b/>
        </w:rPr>
        <w:t>супругов</w:t>
      </w:r>
      <w:r w:rsidRPr="007C0E9A">
        <w:rPr>
          <w:rFonts w:ascii="Times New Roman" w:hAnsi="Times New Roman"/>
          <w:b/>
          <w:spacing w:val="-3"/>
        </w:rPr>
        <w:t xml:space="preserve"> </w:t>
      </w:r>
      <w:r w:rsidRPr="007C0E9A">
        <w:rPr>
          <w:rFonts w:ascii="Times New Roman" w:hAnsi="Times New Roman"/>
          <w:b/>
        </w:rPr>
        <w:t>и</w:t>
      </w:r>
      <w:r w:rsidRPr="007C0E9A">
        <w:rPr>
          <w:rFonts w:ascii="Times New Roman" w:hAnsi="Times New Roman"/>
          <w:b/>
          <w:spacing w:val="-1"/>
        </w:rPr>
        <w:t xml:space="preserve"> несовершеннолетних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детей</w:t>
      </w:r>
      <w:r>
        <w:rPr>
          <w:rFonts w:ascii="Times New Roman" w:hAnsi="Times New Roman"/>
          <w:b/>
        </w:rPr>
        <w:t xml:space="preserve"> </w:t>
      </w:r>
      <w:r w:rsidRPr="007C0E9A">
        <w:rPr>
          <w:rFonts w:ascii="Times New Roman" w:hAnsi="Times New Roman"/>
          <w:b/>
        </w:rPr>
        <w:t>за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 xml:space="preserve">период </w:t>
      </w:r>
      <w:r w:rsidRPr="007C0E9A">
        <w:rPr>
          <w:rFonts w:ascii="Times New Roman" w:hAnsi="Times New Roman"/>
          <w:b/>
        </w:rPr>
        <w:t>с</w:t>
      </w:r>
      <w:r w:rsidRPr="007C0E9A">
        <w:rPr>
          <w:rFonts w:ascii="Times New Roman" w:hAnsi="Times New Roman"/>
          <w:b/>
          <w:spacing w:val="-3"/>
        </w:rPr>
        <w:t xml:space="preserve"> </w:t>
      </w:r>
      <w:r w:rsidRPr="007C0E9A">
        <w:rPr>
          <w:rFonts w:ascii="Times New Roman" w:hAnsi="Times New Roman"/>
          <w:b/>
        </w:rPr>
        <w:t>01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января</w:t>
      </w:r>
      <w:r w:rsidRPr="007C0E9A">
        <w:rPr>
          <w:rFonts w:ascii="Times New Roman" w:hAnsi="Times New Roman"/>
          <w:b/>
          <w:spacing w:val="-2"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по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</w:rPr>
        <w:t>31</w:t>
      </w:r>
      <w:r w:rsidRPr="007C0E9A">
        <w:rPr>
          <w:rFonts w:ascii="Times New Roman" w:hAnsi="Times New Roman"/>
          <w:b/>
          <w:spacing w:val="1"/>
        </w:rPr>
        <w:t xml:space="preserve"> </w:t>
      </w:r>
      <w:r w:rsidRPr="007C0E9A">
        <w:rPr>
          <w:rFonts w:ascii="Times New Roman" w:hAnsi="Times New Roman"/>
          <w:b/>
          <w:spacing w:val="-2"/>
        </w:rPr>
        <w:t>декабря</w:t>
      </w:r>
      <w:r w:rsidRPr="007C0E9A">
        <w:rPr>
          <w:rFonts w:ascii="Times New Roman" w:hAnsi="Times New Roman"/>
          <w:b/>
        </w:rPr>
        <w:t xml:space="preserve"> </w:t>
      </w:r>
      <w:r w:rsidRPr="007C0E9A">
        <w:rPr>
          <w:rFonts w:ascii="Times New Roman" w:hAnsi="Times New Roman"/>
          <w:b/>
          <w:spacing w:val="-1"/>
        </w:rPr>
        <w:t>2021</w:t>
      </w:r>
      <w:r w:rsidRPr="007C0E9A">
        <w:rPr>
          <w:rFonts w:ascii="Times New Roman" w:hAnsi="Times New Roman"/>
          <w:b/>
        </w:rPr>
        <w:t xml:space="preserve"> </w:t>
      </w:r>
      <w:r w:rsidRPr="007C0E9A">
        <w:rPr>
          <w:rFonts w:ascii="Times New Roman" w:hAnsi="Times New Roman"/>
          <w:b/>
          <w:spacing w:val="-1"/>
        </w:rPr>
        <w:t>года</w:t>
      </w:r>
    </w:p>
    <w:p w:rsidR="00EE40E7" w:rsidRDefault="00EE40E7" w:rsidP="00792065">
      <w:pPr>
        <w:jc w:val="center"/>
        <w:rPr>
          <w:b/>
          <w:szCs w:val="24"/>
        </w:rPr>
      </w:pPr>
    </w:p>
    <w:tbl>
      <w:tblPr>
        <w:tblW w:w="15990" w:type="dxa"/>
        <w:tblInd w:w="-44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0"/>
        <w:gridCol w:w="1148"/>
        <w:gridCol w:w="1116"/>
        <w:gridCol w:w="1741"/>
        <w:gridCol w:w="968"/>
        <w:gridCol w:w="980"/>
        <w:gridCol w:w="2086"/>
        <w:gridCol w:w="1935"/>
        <w:gridCol w:w="1116"/>
        <w:gridCol w:w="1126"/>
        <w:gridCol w:w="2034"/>
      </w:tblGrid>
      <w:tr w:rsidR="00EE40E7" w:rsidTr="00DF403A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</w:pPr>
            <w:r>
              <w:rPr>
                <w:b/>
                <w:color w:val="000000" w:themeColor="text1"/>
                <w:sz w:val="16"/>
                <w:szCs w:val="16"/>
              </w:rPr>
              <w:t>Ф.И.О. лица, замещающего должность муниципальной службы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</w:pPr>
            <w:r>
              <w:rPr>
                <w:b/>
                <w:color w:val="000000" w:themeColor="text1"/>
                <w:sz w:val="16"/>
                <w:szCs w:val="16"/>
              </w:rPr>
              <w:t>Деклариро-ванный годовой дохода за 20</w:t>
            </w:r>
            <w:r w:rsidRPr="000F464A">
              <w:rPr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Pr="000F464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год (руб.)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EE40E7" w:rsidTr="00DF403A">
        <w:trPr>
          <w:trHeight w:val="213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Страна располо-жения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Страна располо- жения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EE40E7" w:rsidRPr="00E150E0" w:rsidTr="00DF403A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color w:val="000000"/>
              </w:rPr>
            </w:pPr>
            <w:r w:rsidRPr="00E150E0">
              <w:rPr>
                <w:rFonts w:ascii="Times New Roman" w:hAnsi="Times New Roman"/>
                <w:color w:val="000000"/>
                <w:sz w:val="16"/>
                <w:szCs w:val="16"/>
              </w:rPr>
              <w:t>Веретёха Екатерина Александровна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Default="00EE40E7" w:rsidP="00DF403A">
            <w:pPr>
              <w:pStyle w:val="aa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913444,88</w:t>
            </w:r>
          </w:p>
          <w:p w:rsidR="00EE40E7" w:rsidRPr="00E150E0" w:rsidRDefault="00EE40E7" w:rsidP="00DF403A">
            <w:pPr>
              <w:pStyle w:val="aa"/>
              <w:jc w:val="center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E150E0" w:rsidTr="00DF403A">
        <w:trPr>
          <w:trHeight w:val="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color w:val="000000"/>
              </w:rPr>
            </w:pPr>
            <w:r w:rsidRPr="00E150E0">
              <w:rPr>
                <w:rFonts w:ascii="Times New Roman" w:hAnsi="Times New Roman"/>
                <w:color w:val="000000"/>
                <w:sz w:val="16"/>
                <w:szCs w:val="16"/>
              </w:rPr>
              <w:t>Супруг Веретёхи Екатерины Александровны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F5C56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C56">
              <w:rPr>
                <w:rFonts w:ascii="Times New Roman" w:hAnsi="Times New Roman"/>
                <w:sz w:val="16"/>
                <w:szCs w:val="16"/>
              </w:rPr>
              <w:t>555991,38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23BEC" w:rsidRDefault="00EE40E7" w:rsidP="00DF403A">
            <w:pPr>
              <w:pStyle w:val="aa"/>
              <w:jc w:val="center"/>
            </w:pPr>
            <w:r w:rsidRPr="00A23BE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(¼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23BEC" w:rsidRDefault="00EE40E7" w:rsidP="00DF403A">
            <w:pPr>
              <w:pStyle w:val="aa"/>
              <w:jc w:val="center"/>
            </w:pPr>
            <w:r w:rsidRPr="00A23BEC">
              <w:rPr>
                <w:rFonts w:ascii="Times New Roman" w:hAnsi="Times New Roman"/>
                <w:sz w:val="16"/>
                <w:szCs w:val="16"/>
              </w:rPr>
              <w:t>967,0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23BEC" w:rsidRDefault="00EE40E7" w:rsidP="00DF403A">
            <w:pPr>
              <w:pStyle w:val="aa"/>
              <w:jc w:val="center"/>
            </w:pPr>
            <w:r w:rsidRPr="00A23BE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  <w:r w:rsidRPr="007900D3">
              <w:rPr>
                <w:rFonts w:ascii="Times New Roman" w:hAnsi="Times New Roman"/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E150E0" w:rsidTr="00DF403A">
        <w:trPr>
          <w:trHeight w:val="7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1027,0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</w:p>
        </w:tc>
      </w:tr>
      <w:tr w:rsidR="00EE40E7" w:rsidRPr="00E150E0" w:rsidTr="00DF403A">
        <w:trPr>
          <w:trHeight w:val="154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7900D3" w:rsidRDefault="00EE40E7" w:rsidP="00DF403A">
            <w:pPr>
              <w:pStyle w:val="aa"/>
              <w:jc w:val="center"/>
            </w:pPr>
            <w:r w:rsidRPr="007900D3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</w:p>
        </w:tc>
      </w:tr>
      <w:tr w:rsidR="00EE40E7" w:rsidRPr="00E150E0" w:rsidTr="00DF403A">
        <w:trPr>
          <w:trHeight w:val="165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E40E7" w:rsidRPr="00AF3F4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 w:rsidRPr="007900D3">
              <w:rPr>
                <w:rFonts w:ascii="Times New Roman" w:hAnsi="Times New Roman"/>
                <w:sz w:val="16"/>
                <w:szCs w:val="16"/>
                <w:lang w:val="en-US"/>
              </w:rPr>
              <w:t>SP Constr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EE40E7" w:rsidRPr="00E150E0" w:rsidTr="00DF403A">
        <w:trPr>
          <w:trHeight w:val="165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00D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 (¼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>208,5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 xml:space="preserve">Альфа-Ромео 156 </w:t>
            </w:r>
            <w:r w:rsidRPr="007900D3">
              <w:rPr>
                <w:rFonts w:ascii="Times New Roman" w:hAnsi="Times New Roman"/>
                <w:sz w:val="16"/>
                <w:szCs w:val="16"/>
                <w:lang w:val="en-US"/>
              </w:rPr>
              <w:t>Sportwagon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E150E0" w:rsidTr="00DF403A">
        <w:trPr>
          <w:trHeight w:val="165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900D3">
              <w:rPr>
                <w:rFonts w:ascii="Times New Roman" w:hAnsi="Times New Roman"/>
                <w:sz w:val="16"/>
                <w:szCs w:val="16"/>
                <w:lang w:eastAsia="ru-RU"/>
              </w:rPr>
              <w:t>Здание жилое (объект индивидуального жилищного строительства)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7900D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00D3">
              <w:rPr>
                <w:rFonts w:ascii="Times New Roman" w:hAnsi="Times New Roman"/>
                <w:sz w:val="16"/>
                <w:szCs w:val="16"/>
              </w:rPr>
              <w:t>254,2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F3F4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E150E0" w:rsidTr="00DF403A">
        <w:trPr>
          <w:trHeight w:val="102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Веретёхи Екатерины Александровны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578B0" w:rsidRDefault="00EE40E7" w:rsidP="00DF403A">
            <w:pPr>
              <w:pStyle w:val="aa"/>
              <w:jc w:val="center"/>
            </w:pPr>
            <w:r w:rsidRPr="00A578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BF3D69" w:rsidTr="00DF403A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jc w:val="center"/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Горбунова Виктория Анатольевна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585395,70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spacing w:line="240" w:lineRule="atLeast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BF3D6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color w:val="C9211E"/>
                <w:sz w:val="16"/>
                <w:szCs w:val="16"/>
                <w:lang w:val="en-US"/>
              </w:rPr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Донец Светлана Николаевна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09772,83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Супруг Донец Светланы Николаевны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763660,98</w:t>
            </w:r>
          </w:p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color w:val="000000"/>
              </w:rPr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 под  жилищное строительство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>2933,0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spacing w:line="240" w:lineRule="atLeast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C2161C">
              <w:rPr>
                <w:rFonts w:ascii="Times New Roman" w:hAnsi="Times New Roman"/>
                <w:sz w:val="16"/>
                <w:szCs w:val="16"/>
              </w:rPr>
              <w:lastRenderedPageBreak/>
              <w:t>Митцубиси Оутлэндэр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highlight w:val="red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color w:val="000000"/>
              </w:rPr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147,8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354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C2161C">
              <w:rPr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C2161C">
              <w:rPr>
                <w:sz w:val="16"/>
                <w:szCs w:val="16"/>
              </w:rPr>
              <w:t>59,1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C2161C">
              <w:rPr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6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</w:pPr>
            <w:r w:rsidRPr="00C2161C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Донец Светланы Николаевны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</w:pPr>
            <w:r w:rsidRPr="00C2161C"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2161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61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0F3CE9" w:rsidTr="00DF403A">
        <w:trPr>
          <w:cantSplit/>
          <w:trHeight w:val="17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color w:val="000000"/>
                <w:sz w:val="16"/>
                <w:szCs w:val="16"/>
              </w:rPr>
              <w:t>Карих Лариса Ивановна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648008,90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</w:pPr>
            <w:r w:rsidRPr="000F3CE9">
              <w:rPr>
                <w:rFonts w:ascii="Times New Roman" w:hAnsi="Times New Roman"/>
                <w:sz w:val="16"/>
                <w:szCs w:val="16"/>
              </w:rPr>
              <w:t xml:space="preserve"> Земельный участок приусадебный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</w:pPr>
            <w:r w:rsidRPr="000F3CE9">
              <w:rPr>
                <w:rFonts w:ascii="Times New Roman" w:hAnsi="Times New Roman"/>
                <w:sz w:val="16"/>
                <w:szCs w:val="16"/>
              </w:rPr>
              <w:t>2971,0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AA51F1" w:rsidTr="00DF403A">
        <w:trPr>
          <w:cantSplit/>
          <w:trHeight w:val="17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</w:pPr>
            <w:r w:rsidRPr="000F3CE9">
              <w:rPr>
                <w:rFonts w:ascii="Times New Roman" w:hAnsi="Times New Roman"/>
                <w:sz w:val="16"/>
                <w:szCs w:val="16"/>
              </w:rPr>
              <w:t xml:space="preserve"> Жилой дом (½ 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jc w:val="center"/>
              <w:rPr>
                <w:sz w:val="16"/>
                <w:szCs w:val="16"/>
              </w:rPr>
            </w:pPr>
            <w:r w:rsidRPr="000F3CE9">
              <w:rPr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cantSplit/>
          <w:trHeight w:val="17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jc w:val="center"/>
              <w:rPr>
                <w:sz w:val="16"/>
                <w:szCs w:val="16"/>
              </w:rPr>
            </w:pPr>
            <w:r w:rsidRPr="000F3CE9">
              <w:rPr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cantSplit/>
          <w:trHeight w:val="17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</w:pPr>
            <w:r w:rsidRPr="000F3CE9">
              <w:rPr>
                <w:rFonts w:ascii="Times New Roman" w:hAnsi="Times New Roman"/>
                <w:sz w:val="16"/>
                <w:szCs w:val="16"/>
              </w:rPr>
              <w:t xml:space="preserve"> Квартира (1/3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</w:pPr>
            <w:r w:rsidRPr="000F3CE9"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jc w:val="center"/>
              <w:rPr>
                <w:sz w:val="16"/>
                <w:szCs w:val="16"/>
              </w:rPr>
            </w:pPr>
            <w:r w:rsidRPr="000F3CE9">
              <w:rPr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cantSplit/>
          <w:trHeight w:val="13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CE9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0F3CE9" w:rsidRDefault="00EE40E7" w:rsidP="00DF403A">
            <w:pPr>
              <w:jc w:val="center"/>
              <w:rPr>
                <w:sz w:val="16"/>
                <w:szCs w:val="16"/>
              </w:rPr>
            </w:pPr>
            <w:r w:rsidRPr="000F3CE9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3542C1" w:rsidTr="00DF403A">
        <w:trPr>
          <w:trHeight w:val="1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E21">
              <w:rPr>
                <w:rFonts w:ascii="Times New Roman" w:hAnsi="Times New Roman"/>
                <w:color w:val="000000"/>
                <w:sz w:val="16"/>
                <w:szCs w:val="16"/>
              </w:rPr>
              <w:t>Меркулова Екатерина Александровна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E2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7E21">
              <w:rPr>
                <w:rFonts w:ascii="Times New Roman" w:hAnsi="Times New Roman"/>
                <w:sz w:val="16"/>
                <w:szCs w:val="16"/>
              </w:rPr>
              <w:t>- эксперт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545906,43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 (265/1811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3542C1">
              <w:rPr>
                <w:rFonts w:ascii="Times New Roman" w:hAnsi="Times New Roman"/>
                <w:sz w:val="16"/>
                <w:szCs w:val="16"/>
              </w:rPr>
              <w:t>811,0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3542C1" w:rsidTr="00DF403A">
        <w:trPr>
          <w:trHeight w:val="1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spacing w:line="240" w:lineRule="atLeast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8</w:t>
            </w:r>
            <w:r w:rsidRPr="003542C1">
              <w:rPr>
                <w:rFonts w:ascii="Times New Roman" w:hAnsi="Times New Roman"/>
                <w:sz w:val="16"/>
                <w:szCs w:val="16"/>
                <w:lang w:val="en-US"/>
              </w:rPr>
              <w:t>7,</w:t>
            </w:r>
            <w:r w:rsidRPr="003542C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</w:tr>
      <w:tr w:rsidR="00EE40E7" w:rsidRPr="003542C1" w:rsidTr="00DF403A">
        <w:trPr>
          <w:trHeight w:val="1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</w:pPr>
            <w:r w:rsidRPr="003542C1"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</w:tr>
      <w:tr w:rsidR="00EE40E7" w:rsidRPr="003542C1" w:rsidTr="00DF403A">
        <w:trPr>
          <w:trHeight w:val="1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E21">
              <w:rPr>
                <w:rFonts w:ascii="Times New Roman" w:hAnsi="Times New Roman"/>
                <w:color w:val="000000"/>
                <w:sz w:val="16"/>
                <w:szCs w:val="16"/>
              </w:rPr>
              <w:t>Супруг Меркуловой Екатерины Александровны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E2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780249,74</w:t>
            </w:r>
          </w:p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2C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КИА Церато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highlight w:val="yellow"/>
              </w:rPr>
            </w:pPr>
          </w:p>
        </w:tc>
      </w:tr>
      <w:tr w:rsidR="00EE40E7" w:rsidRPr="003542C1" w:rsidTr="00DF403A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</w:pPr>
            <w:r w:rsidRPr="00547E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Несовершеннолетний ребенок Меркуловой Екатерины Александровны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547E2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7E2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EE40E7" w:rsidRPr="003542C1" w:rsidTr="00DF403A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E40E7" w:rsidRPr="003542C1" w:rsidTr="00DF403A">
        <w:trPr>
          <w:trHeight w:val="20"/>
        </w:trPr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1811,0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E40E7" w:rsidRPr="00BD66E2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6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3542C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color w:val="000000"/>
                <w:sz w:val="16"/>
                <w:szCs w:val="16"/>
              </w:rPr>
              <w:t>Подчепаев Андрей Васильевич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873407,48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  <w:lang w:val="en-US"/>
              </w:rPr>
              <w:t>1638,0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2E26E3" w:rsidRDefault="00EE40E7" w:rsidP="00DF403A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2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632AFF">
        <w:trPr>
          <w:trHeight w:val="562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color w:val="000000"/>
                <w:sz w:val="16"/>
                <w:szCs w:val="16"/>
              </w:rPr>
              <w:t>Супруга Подчепаева Андрея Васильевича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10527</w:t>
            </w:r>
            <w:r w:rsidRPr="002E26E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AA51F1" w:rsidTr="00DF403A">
        <w:trPr>
          <w:trHeight w:val="276"/>
        </w:trPr>
        <w:tc>
          <w:tcPr>
            <w:tcW w:w="1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</w:p>
        </w:tc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2E26E3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2E26E3" w:rsidRDefault="00EE40E7" w:rsidP="00DF403A">
            <w:pPr>
              <w:pStyle w:val="aa"/>
              <w:jc w:val="center"/>
            </w:pPr>
            <w:r w:rsidRPr="002E26E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highlight w:val="red"/>
              </w:rPr>
            </w:pPr>
          </w:p>
        </w:tc>
      </w:tr>
      <w:tr w:rsidR="00EE40E7" w:rsidRPr="0010412E" w:rsidTr="00525885">
        <w:trPr>
          <w:trHeight w:val="56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F64B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4BC">
              <w:rPr>
                <w:rFonts w:ascii="Times New Roman" w:hAnsi="Times New Roman"/>
                <w:sz w:val="16"/>
                <w:szCs w:val="16"/>
              </w:rPr>
              <w:lastRenderedPageBreak/>
              <w:t>Смольянинова Елизавета Алексеевна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F64B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4BC">
              <w:rPr>
                <w:rFonts w:ascii="Times New Roman" w:hAnsi="Times New Roman"/>
                <w:sz w:val="16"/>
                <w:szCs w:val="16"/>
              </w:rPr>
              <w:t>Ведущий специалист - эксперт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CF64BC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4BC">
              <w:rPr>
                <w:rFonts w:ascii="Times New Roman" w:hAnsi="Times New Roman"/>
                <w:sz w:val="16"/>
                <w:szCs w:val="16"/>
              </w:rPr>
              <w:t>281973,69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DE6CD6" w:rsidRDefault="00EE40E7" w:rsidP="00DF403A">
            <w:pPr>
              <w:pStyle w:val="aa"/>
              <w:spacing w:line="240" w:lineRule="atLeast"/>
              <w:jc w:val="center"/>
            </w:pPr>
            <w:r w:rsidRPr="00DE6CD6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DE6CD6" w:rsidRDefault="00EE40E7" w:rsidP="00DF403A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6CD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red"/>
              </w:rPr>
            </w:pPr>
          </w:p>
        </w:tc>
      </w:tr>
      <w:tr w:rsidR="00EE40E7" w:rsidRPr="0010412E" w:rsidTr="00DF403A">
        <w:trPr>
          <w:trHeight w:val="56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color w:val="C9211E"/>
              </w:rPr>
            </w:pPr>
            <w:r w:rsidRPr="0010412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Фурсова Ольга Ивановна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  <w:p w:rsidR="00EE40E7" w:rsidRPr="0010412E" w:rsidRDefault="00EE40E7" w:rsidP="00DF403A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597329,32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10412E" w:rsidTr="00DF403A">
        <w:trPr>
          <w:trHeight w:val="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0412E">
              <w:rPr>
                <w:rFonts w:ascii="Times New Roman" w:hAnsi="Times New Roman"/>
                <w:color w:val="000000"/>
                <w:sz w:val="16"/>
                <w:szCs w:val="16"/>
              </w:rPr>
              <w:t>Супруг Фурсовой Ольги Ивановны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21606,46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Легковой автомобиль Ниссан Ноут</w:t>
            </w: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40E7" w:rsidRPr="00AA51F1" w:rsidTr="001A788C">
        <w:trPr>
          <w:trHeight w:val="2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color w:val="000000"/>
                <w:sz w:val="16"/>
                <w:szCs w:val="16"/>
              </w:rPr>
              <w:t>Щеглова Екатерина Викторовна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3345028,00</w:t>
            </w:r>
          </w:p>
          <w:p w:rsidR="00EE40E7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 xml:space="preserve">(в том числе доход по основному месту работы </w:t>
            </w:r>
            <w:r>
              <w:rPr>
                <w:rFonts w:ascii="Times New Roman" w:hAnsi="Times New Roman"/>
                <w:sz w:val="16"/>
                <w:szCs w:val="16"/>
              </w:rPr>
              <w:t>556619,00</w:t>
            </w:r>
            <w:r w:rsidRPr="0010412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10412E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412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AA51F1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</w:tc>
      </w:tr>
      <w:tr w:rsidR="00EE40E7" w:rsidRPr="00E150E0" w:rsidTr="001A788C">
        <w:trPr>
          <w:trHeight w:val="2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</w:pPr>
            <w:r w:rsidRPr="00E150E0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 Щегловой Екатерины Викторовны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7268,00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0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E40E7" w:rsidRPr="00E150E0" w:rsidRDefault="00EE40E7" w:rsidP="00DF403A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E40E7" w:rsidRDefault="00EE40E7"/>
    <w:p w:rsidR="00EE40E7" w:rsidRPr="00494849" w:rsidRDefault="00EE40E7" w:rsidP="0043587B">
      <w:pPr>
        <w:jc w:val="center"/>
        <w:rPr>
          <w:b/>
          <w:sz w:val="26"/>
          <w:szCs w:val="26"/>
        </w:rPr>
      </w:pPr>
      <w:r w:rsidRPr="00494849">
        <w:rPr>
          <w:b/>
          <w:sz w:val="26"/>
          <w:szCs w:val="26"/>
        </w:rPr>
        <w:t>Сведения</w:t>
      </w:r>
    </w:p>
    <w:p w:rsidR="00EE40E7" w:rsidRPr="00494849" w:rsidRDefault="00EE40E7" w:rsidP="0043587B">
      <w:pPr>
        <w:jc w:val="center"/>
        <w:rPr>
          <w:b/>
          <w:sz w:val="26"/>
          <w:szCs w:val="26"/>
        </w:rPr>
      </w:pPr>
      <w:r w:rsidRPr="00494849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E40E7" w:rsidRPr="00494849" w:rsidRDefault="00EE40E7" w:rsidP="0043587B">
      <w:pPr>
        <w:jc w:val="center"/>
        <w:rPr>
          <w:b/>
          <w:sz w:val="26"/>
          <w:szCs w:val="26"/>
        </w:rPr>
      </w:pPr>
      <w:r w:rsidRPr="00494849">
        <w:rPr>
          <w:b/>
          <w:sz w:val="26"/>
          <w:szCs w:val="26"/>
        </w:rPr>
        <w:t xml:space="preserve">председателя Счетной палаты города Липецк Липецкой области, </w:t>
      </w:r>
    </w:p>
    <w:p w:rsidR="00EE40E7" w:rsidRPr="00494849" w:rsidRDefault="00EE40E7" w:rsidP="0043587B">
      <w:pPr>
        <w:jc w:val="center"/>
        <w:rPr>
          <w:b/>
          <w:sz w:val="26"/>
          <w:szCs w:val="26"/>
        </w:rPr>
      </w:pPr>
      <w:r w:rsidRPr="00494849">
        <w:rPr>
          <w:b/>
          <w:sz w:val="26"/>
          <w:szCs w:val="26"/>
        </w:rPr>
        <w:t>а также его супруга за период с 1 января 2021 года по 31 декабря 2021 года</w:t>
      </w:r>
    </w:p>
    <w:p w:rsidR="00EE40E7" w:rsidRPr="00494849" w:rsidRDefault="00EE40E7" w:rsidP="0043587B">
      <w:pPr>
        <w:jc w:val="center"/>
        <w:rPr>
          <w:b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276"/>
        <w:gridCol w:w="1700"/>
        <w:gridCol w:w="993"/>
        <w:gridCol w:w="992"/>
        <w:gridCol w:w="1276"/>
        <w:gridCol w:w="1559"/>
        <w:gridCol w:w="1134"/>
        <w:gridCol w:w="1134"/>
        <w:gridCol w:w="2977"/>
      </w:tblGrid>
      <w:tr w:rsidR="00EE40E7" w:rsidRPr="00494849">
        <w:tc>
          <w:tcPr>
            <w:tcW w:w="1418" w:type="dxa"/>
            <w:vMerge w:val="restart"/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Деклари-рованный 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годовой доход за 2021 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собственности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E40E7" w:rsidRPr="00494849" w:rsidTr="00494849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E40E7" w:rsidRPr="00494849" w:rsidRDefault="00EE40E7" w:rsidP="004358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Вид объектов недвижимости</w:t>
            </w:r>
            <w:r>
              <w:rPr>
                <w:b/>
                <w:sz w:val="20"/>
                <w:szCs w:val="20"/>
              </w:rPr>
              <w:t xml:space="preserve"> и 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Страна </w:t>
            </w:r>
          </w:p>
          <w:p w:rsidR="00EE40E7" w:rsidRPr="00494849" w:rsidRDefault="00EE40E7" w:rsidP="0043587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 xml:space="preserve">Страна </w:t>
            </w:r>
          </w:p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  <w:r w:rsidRPr="00494849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E40E7" w:rsidRPr="00494849" w:rsidRDefault="00EE40E7" w:rsidP="004358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0E7" w:rsidRPr="00494849" w:rsidTr="00FA3847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lastRenderedPageBreak/>
              <w:t>Зиборова Марина Петровна</w:t>
            </w:r>
          </w:p>
        </w:tc>
        <w:tc>
          <w:tcPr>
            <w:tcW w:w="1418" w:type="dxa"/>
            <w:vMerge w:val="restart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 w:rsidRPr="00494849">
              <w:rPr>
                <w:bCs/>
                <w:spacing w:val="-5"/>
                <w:sz w:val="20"/>
                <w:szCs w:val="20"/>
              </w:rPr>
              <w:t xml:space="preserve">Председатель Счетной палаты города Липецк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2 080 156,63</w:t>
            </w:r>
          </w:p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индивидуальная</w:t>
            </w:r>
            <w:r w:rsidRPr="00494849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0E7" w:rsidRPr="004D65E8" w:rsidRDefault="00EE40E7" w:rsidP="0043587B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EE40E7" w:rsidRDefault="00EE40E7" w:rsidP="0043587B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K</w:t>
            </w:r>
            <w:r>
              <w:rPr>
                <w:spacing w:val="-5"/>
                <w:sz w:val="20"/>
                <w:szCs w:val="20"/>
                <w:lang w:val="en-US"/>
              </w:rPr>
              <w:t>ia</w:t>
            </w:r>
            <w:r w:rsidRPr="00494849">
              <w:rPr>
                <w:spacing w:val="-5"/>
                <w:sz w:val="20"/>
                <w:szCs w:val="20"/>
              </w:rPr>
              <w:t xml:space="preserve"> HM </w:t>
            </w:r>
          </w:p>
          <w:p w:rsidR="00EE40E7" w:rsidRPr="004D65E8" w:rsidRDefault="00EE40E7" w:rsidP="0043587B">
            <w:pPr>
              <w:jc w:val="center"/>
            </w:pPr>
            <w:r w:rsidRPr="00494849">
              <w:rPr>
                <w:spacing w:val="-5"/>
                <w:sz w:val="20"/>
                <w:szCs w:val="20"/>
              </w:rPr>
              <w:t>Mohave</w:t>
            </w:r>
          </w:p>
        </w:tc>
        <w:tc>
          <w:tcPr>
            <w:tcW w:w="1559" w:type="dxa"/>
            <w:shd w:val="clear" w:color="auto" w:fill="auto"/>
          </w:tcPr>
          <w:p w:rsidR="00EE40E7" w:rsidRPr="00494849" w:rsidRDefault="00EE40E7" w:rsidP="009A745E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E40E7" w:rsidRPr="00494849" w:rsidRDefault="00EE40E7" w:rsidP="00AB0DE9">
            <w:pPr>
              <w:jc w:val="center"/>
            </w:pPr>
            <w:r w:rsidRPr="0049484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E40E7" w:rsidRPr="00494849" w:rsidTr="004D65E8">
        <w:trPr>
          <w:trHeight w:val="254"/>
        </w:trPr>
        <w:tc>
          <w:tcPr>
            <w:tcW w:w="1418" w:type="dxa"/>
            <w:vMerge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E40E7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Pr="00494849" w:rsidRDefault="00EE40E7" w:rsidP="0043587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122,0</w:t>
            </w:r>
          </w:p>
        </w:tc>
        <w:tc>
          <w:tcPr>
            <w:tcW w:w="1134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E40E7" w:rsidRPr="00494849" w:rsidTr="00FA3847">
        <w:trPr>
          <w:trHeight w:val="684"/>
        </w:trPr>
        <w:tc>
          <w:tcPr>
            <w:tcW w:w="1418" w:type="dxa"/>
            <w:vMerge w:val="restart"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1 268 435</w:t>
            </w:r>
            <w:r>
              <w:rPr>
                <w:spacing w:val="-5"/>
                <w:sz w:val="20"/>
                <w:szCs w:val="20"/>
              </w:rPr>
              <w:t>,06</w:t>
            </w:r>
          </w:p>
        </w:tc>
        <w:tc>
          <w:tcPr>
            <w:tcW w:w="1700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FA384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E40E7" w:rsidRPr="00494849" w:rsidRDefault="00EE40E7" w:rsidP="00FA3847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0E7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 w:rsidRPr="00FA3847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EE40E7" w:rsidRPr="00494849" w:rsidRDefault="00EE40E7" w:rsidP="00AB0DE9">
            <w:pPr>
              <w:jc w:val="center"/>
            </w:pPr>
            <w:r w:rsidRPr="00FA3847">
              <w:rPr>
                <w:spacing w:val="-5"/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E40E7" w:rsidRPr="00494849" w:rsidRDefault="00EE40E7" w:rsidP="00AB0DE9">
            <w:pPr>
              <w:jc w:val="center"/>
            </w:pPr>
            <w:r w:rsidRPr="00494849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E40E7" w:rsidRPr="00494849" w:rsidTr="00FA3847">
        <w:trPr>
          <w:trHeight w:val="86"/>
        </w:trPr>
        <w:tc>
          <w:tcPr>
            <w:tcW w:w="1418" w:type="dxa"/>
            <w:vMerge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Default="00EE40E7" w:rsidP="004D65E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FA384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2005,0</w:t>
            </w:r>
          </w:p>
        </w:tc>
        <w:tc>
          <w:tcPr>
            <w:tcW w:w="992" w:type="dxa"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40E7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 w:rsidRPr="00FA3847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УАЗ-390995</w:t>
            </w:r>
          </w:p>
        </w:tc>
        <w:tc>
          <w:tcPr>
            <w:tcW w:w="1559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E40E7" w:rsidRPr="00494849" w:rsidTr="00FA3847">
        <w:trPr>
          <w:trHeight w:val="143"/>
        </w:trPr>
        <w:tc>
          <w:tcPr>
            <w:tcW w:w="1418" w:type="dxa"/>
            <w:vMerge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Default="00EE40E7" w:rsidP="004D65E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FA3847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847,0</w:t>
            </w:r>
          </w:p>
        </w:tc>
        <w:tc>
          <w:tcPr>
            <w:tcW w:w="992" w:type="dxa"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0E7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Прицеп к легковому автомобилю</w:t>
            </w:r>
          </w:p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МСЗА 817711</w:t>
            </w:r>
          </w:p>
        </w:tc>
        <w:tc>
          <w:tcPr>
            <w:tcW w:w="1559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E40E7" w:rsidRPr="00494849" w:rsidTr="00FA3847">
        <w:trPr>
          <w:trHeight w:val="506"/>
        </w:trPr>
        <w:tc>
          <w:tcPr>
            <w:tcW w:w="1418" w:type="dxa"/>
            <w:vMerge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Жилой дом</w:t>
            </w:r>
          </w:p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D65E8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122,0</w:t>
            </w:r>
          </w:p>
        </w:tc>
        <w:tc>
          <w:tcPr>
            <w:tcW w:w="992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E40E7" w:rsidRPr="00494849" w:rsidTr="004D65E8">
        <w:trPr>
          <w:trHeight w:val="471"/>
        </w:trPr>
        <w:tc>
          <w:tcPr>
            <w:tcW w:w="1418" w:type="dxa"/>
            <w:vMerge/>
            <w:shd w:val="clear" w:color="auto" w:fill="auto"/>
          </w:tcPr>
          <w:p w:rsidR="00EE40E7" w:rsidRPr="00494849" w:rsidRDefault="00EE40E7" w:rsidP="004D65E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0E7" w:rsidRPr="00494849" w:rsidRDefault="00EE40E7" w:rsidP="004D65E8">
            <w:pPr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Квартира (</w:t>
            </w:r>
            <w:r>
              <w:rPr>
                <w:spacing w:val="-5"/>
                <w:sz w:val="20"/>
                <w:szCs w:val="20"/>
              </w:rPr>
              <w:t>индивидуальная</w:t>
            </w:r>
            <w:r w:rsidRPr="00494849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EE40E7" w:rsidRPr="00494849" w:rsidRDefault="00EE40E7" w:rsidP="004D65E8">
            <w:pPr>
              <w:jc w:val="center"/>
              <w:rPr>
                <w:sz w:val="20"/>
                <w:szCs w:val="20"/>
              </w:rPr>
            </w:pPr>
            <w:r w:rsidRPr="00494849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E40E7" w:rsidRPr="00494849" w:rsidRDefault="00EE40E7" w:rsidP="00AB0DE9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EE40E7" w:rsidRPr="00121907" w:rsidRDefault="00EE40E7" w:rsidP="0043587B"/>
    <w:p w:rsidR="00EE40E7" w:rsidRDefault="00EE40E7"/>
    <w:p w:rsidR="00243221" w:rsidRPr="001C34A2" w:rsidRDefault="00243221" w:rsidP="001C34A2">
      <w:bookmarkStart w:id="0" w:name="_GoBack"/>
      <w:bookmarkEnd w:id="0"/>
    </w:p>
    <w:sectPr w:rsidR="00243221" w:rsidRPr="001C34A2" w:rsidSect="00682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0E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94750-EAC3-4935-A79E-95606D34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E40E7"/>
    <w:pPr>
      <w:spacing w:after="14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EE40E7"/>
    <w:rPr>
      <w:rFonts w:asciiTheme="minorHAnsi" w:eastAsiaTheme="minorHAnsi" w:hAnsiTheme="minorHAnsi"/>
      <w:sz w:val="22"/>
      <w:szCs w:val="22"/>
      <w:lang w:eastAsia="en-US"/>
    </w:rPr>
  </w:style>
  <w:style w:type="paragraph" w:styleId="aa">
    <w:name w:val="No Spacing"/>
    <w:uiPriority w:val="1"/>
    <w:qFormat/>
    <w:rsid w:val="00EE40E7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2022-11-16T08:28:00Z</dcterms:modified>
</cp:coreProperties>
</file>