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директора государственного архива </w:t>
      </w:r>
      <w:r>
        <w:rPr>
          <w:rFonts w:ascii="Times New Roman" w:hAnsi="Times New Roman" w:cs="Times New Roman"/>
          <w:b/>
          <w:sz w:val="24"/>
          <w:szCs w:val="24"/>
        </w:rPr>
        <w:t xml:space="preserve">Иркутской области за отчетный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  <w:r/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>
        <w:trPr>
          <w:trHeight w:val="8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Должность 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3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Объекты недвижимости находящиеся в собственности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0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vMerge w:val="restart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Транспортные средства (вид, марка)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restart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Декларированный годовой доход (руб.)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источник)</w:t>
            </w:r>
            <w:r/>
          </w:p>
        </w:tc>
      </w:tr>
      <w:tr>
        <w:trPr>
          <w:trHeight w:val="18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вид объекта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вид собственности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площадь (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страна расположения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1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вид объекта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3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площадь (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btLr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Cs w:val="24"/>
                <w:lang w:eastAsia="ru-RU"/>
              </w:rPr>
              <w:t xml:space="preserve">страна расположения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13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Жабинский С.М.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Директор ОГКУ «Государственный архив новейшей истории Иркутской области»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Квартира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Квартира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Общая совместная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Индивидуальная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30,1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44,3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Россия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Россия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1245815,18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Квартира приобретена за счет кредитных средств </w:t>
            </w:r>
            <w:bookmarkStart w:id="0" w:name="_GoBack"/>
            <w:r/>
            <w:bookmarkEnd w:id="0"/>
            <w:r/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Супруга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Квартира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Общая совместная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30,1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Россия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1058289,30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Несовершеннолетний ребенок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Квартира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30,1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Россия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Несовершеннолетний ребенок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Квартира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30,1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Россия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Не имеет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sectPr>
      <w:footnotePr/>
      <w:endnotePr/>
      <w:type w:val="nextPage"/>
      <w:pgSz w:w="16838" w:h="11906" w:orient="landscape"/>
      <w:pgMar w:top="851" w:right="851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4EF1713C-9B1F-41F4-94DC-073E0069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revision>5</cp:revision>
  <dcterms:created xsi:type="dcterms:W3CDTF">2022-05-04T02:37:00Z</dcterms:created>
  <dcterms:modified xsi:type="dcterms:W3CDTF">2022-05-12T06:36:53Z</dcterms:modified>
</cp:coreProperties>
</file>