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color w:val="000000"/>
          <w:sz w:val="24"/>
          <w:szCs w:val="24"/>
        </w:rPr>
      </w:pPr>
      <w:r/>
      <w:bookmarkStart w:id="0" w:name="_GoBack"/>
      <w:r>
        <w:rPr>
          <w:rFonts w:ascii="Times New Roman" w:hAnsi="Times New Roman" w:cs="Times New Roman" w:eastAsia="Calibri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руководителя областного государс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твенного казенного учреждения «Г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сударственное юридическое бюро И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ркутской области»,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его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несовершеннолетних детей за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отчетный период 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с 1 января 20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года</w:t>
      </w:r>
      <w:bookmarkEnd w:id="0"/>
      <w:r/>
      <w:r/>
    </w:p>
    <w:tbl>
      <w:tblPr>
        <w:tblStyle w:val="817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>
        <w:trPr>
          <w:trHeight w:val="1050"/>
        </w:trPr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</w:t>
            </w:r>
            <w:r>
              <w:rPr>
                <w:rFonts w:ascii="Times New Roman" w:hAnsi="Times New Roman" w:cs="Times New Roman" w:eastAsia="Calibri"/>
              </w:rPr>
              <w:t xml:space="preserve">/п</w:t>
            </w:r>
            <w:r/>
          </w:p>
        </w:tc>
        <w:tc>
          <w:tcPr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Фамилия, инициалы государственного гражданского служащего  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Должность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Декларированный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годовой доход за 20</w:t>
            </w:r>
            <w:r>
              <w:rPr>
                <w:rFonts w:ascii="Times New Roman" w:hAnsi="Times New Roman" w:cs="Times New Roman" w:eastAsia="Calibri"/>
              </w:rPr>
              <w:t xml:space="preserve">19</w:t>
            </w:r>
            <w:r>
              <w:rPr>
                <w:rFonts w:ascii="Times New Roman" w:hAnsi="Times New Roman" w:cs="Times New Roman" w:eastAsia="Calibri"/>
              </w:rPr>
              <w:t xml:space="preserve"> </w:t>
            </w:r>
            <w:r>
              <w:rPr>
                <w:rFonts w:ascii="Times New Roman" w:hAnsi="Times New Roman" w:cs="Times New Roman" w:eastAsia="Calibri"/>
              </w:rPr>
              <w:t xml:space="preserve">год (руб.)</w:t>
            </w:r>
            <w:r/>
          </w:p>
        </w:tc>
        <w:tc>
          <w:tcPr>
            <w:gridSpan w:val="4"/>
            <w:tcW w:w="5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Перечень объектов недвижимости, находящих на праве собственности или находящихся в пользовании</w:t>
            </w:r>
            <w:r/>
          </w:p>
        </w:tc>
        <w:tc>
          <w:tcPr>
            <w:gridSpan w:val="2"/>
            <w:tcW w:w="294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Перечень транспортных средств, принадлежащих на праве собственности </w:t>
            </w:r>
            <w:r/>
          </w:p>
        </w:tc>
      </w:tr>
      <w:tr>
        <w:trPr>
          <w:trHeight w:val="777"/>
        </w:trPr>
        <w:tc>
          <w:tcPr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вид объектов недвижимости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площадь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(</w:t>
            </w:r>
            <w:r>
              <w:rPr>
                <w:rFonts w:ascii="Times New Roman" w:hAnsi="Times New Roman" w:cs="Times New Roman" w:eastAsia="Calibri"/>
              </w:rPr>
              <w:t xml:space="preserve">кв.м</w:t>
            </w:r>
            <w:r>
              <w:rPr>
                <w:rFonts w:ascii="Times New Roman" w:hAnsi="Times New Roman" w:cs="Times New Roman" w:eastAsia="Calibri"/>
              </w:rPr>
              <w:t xml:space="preserve">.)</w:t>
            </w:r>
            <w:r/>
          </w:p>
        </w:tc>
        <w:tc>
          <w:tcPr>
            <w:tcW w:w="186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страна расположения</w:t>
            </w:r>
            <w:r/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вид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марка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1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4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6</w:t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7</w: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8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9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1.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Магданов</w:t>
            </w:r>
            <w:r>
              <w:rPr>
                <w:rFonts w:ascii="Times New Roman" w:hAnsi="Times New Roman" w:cs="Times New Roman" w:eastAsia="Calibri"/>
              </w:rPr>
              <w:t xml:space="preserve"> Петр Антонович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Руководитель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1 009 402, 53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Земельный участок 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(долевая 1/2)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Квартира (собственность)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Квартира 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(собственность)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288 000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35,7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58</w:t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Россия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Россия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Россия</w: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Не имеет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</w:tc>
      </w:tr>
    </w:tbl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</w:r>
      <w:r/>
    </w:p>
    <w:p>
      <w:pPr>
        <w:jc w:val="center"/>
        <w:spacing w:after="160" w:line="259" w:lineRule="auto"/>
        <w:rPr>
          <w:rFonts w:ascii="Times New Roman" w:hAnsi="Times New Roman" w:cs="Times New Roman" w:eastAsia="Calibri"/>
          <w:b/>
          <w:color w:val="000000"/>
          <w:sz w:val="24"/>
          <w:szCs w:val="24"/>
        </w:rPr>
      </w:pPr>
      <w:r>
        <w:rPr>
          <w:rFonts w:ascii="Times New Roman" w:hAnsi="Times New Roman" w:cs="Times New Roman" w:eastAsia="Calibri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руководителя областного государс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твенного казенного учреждения «Центр обеспечения судебных участков мировых судей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», его супруга (супруги) и несовершеннолетних детей за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отчетный период 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с 1 января 20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21</w:t>
      </w:r>
      <w:r>
        <w:rPr>
          <w:rFonts w:ascii="Times New Roman" w:hAnsi="Times New Roman" w:cs="Times New Roman" w:eastAsia="Calibri"/>
          <w:b/>
          <w:color w:val="000000" w:themeColor="text1"/>
          <w:sz w:val="24"/>
          <w:szCs w:val="24"/>
        </w:rPr>
        <w:t xml:space="preserve"> года</w:t>
      </w:r>
      <w:r/>
    </w:p>
    <w:tbl>
      <w:tblPr>
        <w:tblStyle w:val="817"/>
        <w:tblW w:w="14567" w:type="dxa"/>
        <w:tblLayout w:type="fixed"/>
        <w:tblLook w:val="04A0" w:firstRow="1" w:lastRow="0" w:firstColumn="1" w:lastColumn="0" w:noHBand="0" w:noVBand="1"/>
      </w:tblPr>
      <w:tblGrid>
        <w:gridCol w:w="674"/>
        <w:gridCol w:w="1986"/>
        <w:gridCol w:w="1701"/>
        <w:gridCol w:w="1559"/>
        <w:gridCol w:w="2552"/>
        <w:gridCol w:w="1276"/>
        <w:gridCol w:w="1866"/>
        <w:gridCol w:w="7"/>
        <w:gridCol w:w="1528"/>
        <w:gridCol w:w="1418"/>
      </w:tblGrid>
      <w:tr>
        <w:trPr>
          <w:trHeight w:val="1050"/>
        </w:trPr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№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</w:t>
            </w:r>
            <w:r>
              <w:rPr>
                <w:rFonts w:ascii="Times New Roman" w:hAnsi="Times New Roman" w:cs="Times New Roman" w:eastAsia="Calibri"/>
              </w:rPr>
              <w:t xml:space="preserve">/п</w:t>
            </w:r>
            <w:r/>
          </w:p>
        </w:tc>
        <w:tc>
          <w:tcPr>
            <w:tcW w:w="1986" w:type="dxa"/>
            <w:vMerge w:val="restart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Фамилия, инициалы государственного гражданского служащего  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Должность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Декларированный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годовой доход за 20</w:t>
            </w:r>
            <w:r>
              <w:rPr>
                <w:rFonts w:ascii="Times New Roman" w:hAnsi="Times New Roman" w:cs="Times New Roman" w:eastAsia="Calibri"/>
              </w:rPr>
              <w:t xml:space="preserve">20</w:t>
            </w:r>
            <w:r>
              <w:rPr>
                <w:rFonts w:ascii="Times New Roman" w:hAnsi="Times New Roman" w:cs="Times New Roman" w:eastAsia="Calibri"/>
              </w:rPr>
              <w:t xml:space="preserve"> </w:t>
            </w:r>
            <w:r>
              <w:rPr>
                <w:rFonts w:ascii="Times New Roman" w:hAnsi="Times New Roman" w:cs="Times New Roman" w:eastAsia="Calibri"/>
              </w:rPr>
              <w:t xml:space="preserve">год (руб.)</w:t>
            </w:r>
            <w:r/>
          </w:p>
        </w:tc>
        <w:tc>
          <w:tcPr>
            <w:gridSpan w:val="4"/>
            <w:tcW w:w="5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Перечень объектов недвижимости, находящих на праве собственности или находящихся в пользовании</w:t>
            </w:r>
            <w:r/>
          </w:p>
        </w:tc>
        <w:tc>
          <w:tcPr>
            <w:gridSpan w:val="2"/>
            <w:tcW w:w="294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Перечень транспортных средств, принадлежащих на праве собственности </w:t>
            </w:r>
            <w:r/>
          </w:p>
        </w:tc>
      </w:tr>
      <w:tr>
        <w:trPr>
          <w:trHeight w:val="777"/>
        </w:trPr>
        <w:tc>
          <w:tcPr>
            <w:tcW w:w="67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вид объектов недвижимости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площадь</w:t>
            </w:r>
            <w:r/>
          </w:p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(</w:t>
            </w:r>
            <w:r>
              <w:rPr>
                <w:rFonts w:ascii="Times New Roman" w:hAnsi="Times New Roman" w:cs="Times New Roman" w:eastAsia="Calibri"/>
              </w:rPr>
              <w:t xml:space="preserve">кв.м</w:t>
            </w:r>
            <w:r>
              <w:rPr>
                <w:rFonts w:ascii="Times New Roman" w:hAnsi="Times New Roman" w:cs="Times New Roman" w:eastAsia="Calibri"/>
              </w:rPr>
              <w:t xml:space="preserve">.)</w:t>
            </w:r>
            <w:r/>
          </w:p>
        </w:tc>
        <w:tc>
          <w:tcPr>
            <w:tcW w:w="186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страна расположения</w:t>
            </w:r>
            <w:r/>
          </w:p>
        </w:tc>
        <w:tc>
          <w:tcPr>
            <w:gridSpan w:val="2"/>
            <w:tcW w:w="1535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вид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</w:rPr>
              <w:outlineLvl w:val="0"/>
            </w:pPr>
            <w:r>
              <w:rPr>
                <w:rFonts w:ascii="Times New Roman" w:hAnsi="Times New Roman" w:cs="Times New Roman" w:eastAsia="Calibri"/>
              </w:rPr>
              <w:t xml:space="preserve">марка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1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2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4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6</w:t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7</w: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8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/>
                <w:bCs/>
                <w:color w:val="26282F"/>
              </w:rPr>
              <w:t xml:space="preserve">9</w:t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1.</w:t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Граков</w:t>
            </w:r>
            <w:r>
              <w:rPr>
                <w:rFonts w:ascii="Times New Roman" w:hAnsi="Times New Roman" w:cs="Times New Roman" w:eastAsia="Calibri"/>
              </w:rPr>
              <w:t xml:space="preserve"> Игорь Валерьевич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Руководитель 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lang w:val="en-US"/>
              </w:rPr>
              <w:t xml:space="preserve">3 787 625</w:t>
            </w:r>
            <w:r>
              <w:rPr>
                <w:rFonts w:ascii="Times New Roman" w:hAnsi="Times New Roman" w:cs="Times New Roman" w:eastAsia="Calibri"/>
                <w:bCs/>
                <w:color w:val="26282F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Calibri"/>
                <w:bCs/>
                <w:color w:val="26282F"/>
                <w:lang w:val="en-US"/>
              </w:rPr>
              <w:t xml:space="preserve"> 52</w:t>
            </w:r>
            <w:r>
              <w:rPr>
                <w:rFonts w:ascii="Times New Roman" w:hAnsi="Times New Roman" w:cs="Times New Roman" w:eastAsia="Calibri"/>
                <w:bCs/>
                <w:color w:val="26282F"/>
                <w:lang w:val="en-US"/>
              </w:rPr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Земельный участок (собственность)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Жилой дом (собственность)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Гараж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(собственность)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Баня 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(собственность)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690</w:t>
            </w:r>
            <w:r>
              <w:rPr>
                <w:rFonts w:ascii="Times New Roman" w:hAnsi="Times New Roman" w:cs="Times New Roman" w:eastAsia="Calibri"/>
                <w:bCs/>
                <w:color w:val="26282F"/>
                <w:lang w:val="ru-RU"/>
              </w:rPr>
              <w:t xml:space="preserve">,</w:t>
            </w:r>
            <w:r>
              <w:rPr>
                <w:rFonts w:ascii="Times New Roman" w:hAnsi="Times New Roman" w:cs="Times New Roman" w:eastAsia="Calibri"/>
                <w:bCs/>
                <w:color w:val="26282F"/>
                <w:lang w:val="en-US"/>
              </w:rPr>
              <w:t xml:space="preserve"> 0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  <w:sz w:val="16"/>
                <w:szCs w:val="16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sz w:val="16"/>
                <w:szCs w:val="16"/>
              </w:rPr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97,5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24,0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22,0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Россия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  <w:sz w:val="16"/>
                <w:szCs w:val="16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sz w:val="16"/>
                <w:szCs w:val="16"/>
              </w:rPr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Россия</w:t>
            </w:r>
            <w:r/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  <w:highlight w:val="none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Россия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color w:val="26282F"/>
              </w:rPr>
            </w:r>
            <w:r>
              <w:rPr>
                <w:rFonts w:ascii="Times New Roman" w:hAnsi="Times New Roman" w:cs="Times New Roman" w:eastAsia="Calibri"/>
                <w:color w:val="26282F"/>
              </w:rPr>
            </w:r>
          </w:p>
          <w:p>
            <w:pPr>
              <w:pStyle w:val="655"/>
              <w:jc w:val="center"/>
              <w:rPr>
                <w:rFonts w:ascii="Times New Roman" w:hAnsi="Times New Roman" w:cs="Times New Roman" w:eastAsia="Calibri"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  <w:t xml:space="preserve">Россия</w:t>
            </w:r>
            <w:r>
              <w:rPr>
                <w:rFonts w:ascii="Times New Roman" w:hAnsi="Times New Roman" w:cs="Times New Roman" w:eastAsia="Calibri"/>
                <w:bCs/>
                <w:color w:val="26282F"/>
                <w:highlight w:val="none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Не имеет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Calibri"/>
              </w:rPr>
            </w:pPr>
            <w:r>
              <w:rPr>
                <w:rFonts w:ascii="Times New Roman" w:hAnsi="Times New Roman" w:cs="Times New Roman" w:eastAsia="Calibri"/>
              </w:rPr>
              <w:t xml:space="preserve">Несовершеннолетний ребенок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Не имеет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Квартира (пользование)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50,4</w:t>
            </w:r>
            <w:r/>
          </w:p>
        </w:tc>
        <w:tc>
          <w:tcPr>
            <w:gridSpan w:val="2"/>
            <w:tcW w:w="1873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Россия</w:t>
            </w:r>
            <w:r/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  <w:t xml:space="preserve">Не имеет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8" w:after="108"/>
              <w:rPr>
                <w:rFonts w:ascii="Times New Roman" w:hAnsi="Times New Roman" w:cs="Times New Roman" w:eastAsia="Calibri"/>
                <w:bCs/>
                <w:color w:val="26282F"/>
              </w:rPr>
              <w:outlineLvl w:val="0"/>
            </w:pPr>
            <w:r>
              <w:rPr>
                <w:rFonts w:ascii="Times New Roman" w:hAnsi="Times New Roman" w:cs="Times New Roman" w:eastAsia="Calibri"/>
                <w:bCs/>
                <w:color w:val="26282F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>
    <w:name w:val="Table Grid"/>
    <w:basedOn w:val="81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8">
    <w:name w:val="Balloon Text"/>
    <w:basedOn w:val="813"/>
    <w:link w:val="81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19" w:customStyle="1">
    <w:name w:val="Текст выноски Знак"/>
    <w:basedOn w:val="814"/>
    <w:link w:val="81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AE32591-3E7F-46C3-8E36-956BA869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Литвинова</dc:creator>
  <cp:revision>4</cp:revision>
  <dcterms:created xsi:type="dcterms:W3CDTF">2021-05-21T02:45:00Z</dcterms:created>
  <dcterms:modified xsi:type="dcterms:W3CDTF">2022-05-19T02:46:59Z</dcterms:modified>
</cp:coreProperties>
</file>