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27" w:rsidRPr="007B7127" w:rsidRDefault="007B7127" w:rsidP="007B7127">
      <w:pPr>
        <w:spacing w:after="0" w:line="240" w:lineRule="auto"/>
        <w:rPr>
          <w:rFonts w:eastAsia="Times New Roman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</w:t>
      </w:r>
      <w:r w:rsidRPr="00CA25EB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 </w:t>
      </w: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имущественного характера государственных гражданских</w:t>
      </w:r>
      <w:r w:rsidRPr="00CA25EB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 </w:t>
      </w: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служащих (лиц, замещающих государственные должности)</w:t>
      </w:r>
      <w:r w:rsidRPr="00CA25EB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 </w:t>
      </w: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и членов их семей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Аппарата Губернатора Тюменской области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41"/>
        <w:gridCol w:w="1933"/>
        <w:gridCol w:w="1038"/>
        <w:gridCol w:w="1489"/>
        <w:gridCol w:w="839"/>
        <w:gridCol w:w="1302"/>
        <w:gridCol w:w="823"/>
        <w:gridCol w:w="839"/>
        <w:gridCol w:w="1302"/>
        <w:gridCol w:w="1317"/>
        <w:gridCol w:w="1125"/>
        <w:gridCol w:w="1471"/>
      </w:tblGrid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7B712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Мамонтова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руководитель Аппарата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11 386 586,30 (в том числе от отчуждения имущества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4 200 000,00)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Стеценко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руководителя Аппарата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3 087 682,93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1 028 515,35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Белоусова И.И.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1 819 341,77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нежилое помещение в нежилом строении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Морева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1 318 357,55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ТОЙОТА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594 553,08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Цыбуляк С.И.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7B712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B712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B7127">
              <w:rPr>
                <w:rFonts w:eastAsia="Times New Roman"/>
                <w:szCs w:val="24"/>
                <w:lang w:val="en-US" w:eastAsia="ru-RU"/>
              </w:rPr>
              <w:t>Land Rover 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1 749 162,18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1 027 259,69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Шурлыгин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КИА JD(CEEʼD)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1 336 060,04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808 004,71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Южаков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1 918 182,68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легковой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314 935,76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Никифорова И.Л.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 xml:space="preserve">1 864 701,20 (в том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числе от отчуждения имущества 509 000,00)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30 454,16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Шигапова К.Р.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1 185 569,28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--------------------------------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7127"/>
    <w:rsid w:val="00807380"/>
    <w:rsid w:val="008C09C5"/>
    <w:rsid w:val="0097184D"/>
    <w:rsid w:val="009F48C4"/>
    <w:rsid w:val="00A22E7B"/>
    <w:rsid w:val="00A23DD1"/>
    <w:rsid w:val="00BE110E"/>
    <w:rsid w:val="00C76735"/>
    <w:rsid w:val="00CA25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04A23-62CF-4798-A2F6-B576D7C1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Дата1"/>
    <w:basedOn w:val="a0"/>
    <w:rsid w:val="007B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2022-07-01T05:19:00Z</dcterms:modified>
</cp:coreProperties>
</file>