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4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за отчетный период </w:t>
      </w:r>
      <w:r>
        <w:rPr>
          <w:sz w:val="28"/>
          <w:szCs w:val="28"/>
        </w:rPr>
      </w:r>
      <w:r/>
    </w:p>
    <w:p>
      <w:pPr>
        <w:pStyle w:val="5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января 2020</w:t>
      </w:r>
      <w:r>
        <w:rPr>
          <w:sz w:val="28"/>
          <w:szCs w:val="28"/>
        </w:rPr>
        <w:t xml:space="preserve"> г. по 31 декабря 2021</w:t>
      </w:r>
      <w:r>
        <w:rPr>
          <w:sz w:val="28"/>
          <w:szCs w:val="28"/>
        </w:rPr>
        <w:t xml:space="preserve"> г.</w:t>
      </w:r>
      <w:r/>
    </w:p>
    <w:p>
      <w:pPr>
        <w:pStyle w:val="564"/>
        <w:jc w:val="center"/>
      </w:pPr>
      <w:r/>
      <w:r/>
    </w:p>
    <w:tbl>
      <w:tblPr>
        <w:tblpPr w:horzAnchor="margin" w:tblpXSpec="left" w:vertAnchor="page" w:tblpY="2755" w:leftFromText="180" w:topFromText="0" w:rightFromText="180" w:bottomFromText="0"/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52"/>
        <w:gridCol w:w="1306"/>
        <w:gridCol w:w="1729"/>
        <w:gridCol w:w="2690"/>
        <w:gridCol w:w="1647"/>
      </w:tblGrid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№ п/п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Декларированный годовой доход (руб.)</w:t>
            </w:r>
            <w:r/>
          </w:p>
        </w:tc>
        <w:tc>
          <w:tcPr>
            <w:gridSpan w:val="3"/>
            <w:tcW w:w="528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Перечень транспортных средств, принадлежащих на праве собственности (вид, марка)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Сведения об источниках получения средств, за счет которых совершены сделки (вид приобретен</w:t>
            </w:r>
            <w:r>
              <w:t xml:space="preserve">-</w:t>
            </w:r>
            <w:r>
              <w:t xml:space="preserve">ного имущества, источники)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2153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вид объекта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площадь (кв.м)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страна расположения</w:t>
            </w:r>
            <w:r/>
          </w:p>
        </w:tc>
        <w:tc>
          <w:tcPr>
            <w:tcW w:w="2690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vMerge w:val="continue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</w:tr>
      <w:tr>
        <w:trPr/>
        <w:tc>
          <w:tcPr>
            <w:tcW w:w="54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2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3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</w:t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5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6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8</w:t>
            </w:r>
            <w:r/>
          </w:p>
        </w:tc>
      </w:tr>
      <w:tr>
        <w:trPr>
          <w:cantSplit/>
          <w:trHeight w:val="1417"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1.</w:t>
            </w:r>
            <w:r/>
          </w:p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Вазерова А.Г., директор государственного бюджетного учреждения «Государственный архив Пензенской области»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814 402,85</w:t>
            </w:r>
            <w:r/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дача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 </w:t>
            </w:r>
            <w:r>
              <w:t xml:space="preserve">)</w:t>
            </w:r>
            <w:r/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 общая</w:t>
            </w:r>
            <w:r>
              <w:t xml:space="preserve">)</w:t>
            </w:r>
            <w:r>
              <w:rPr>
                <w:b/>
                <w:color w:val="FF0000"/>
              </w:rPr>
            </w:r>
            <w:r/>
          </w:p>
        </w:tc>
        <w:tc>
          <w:tcPr>
            <w:tcW w:w="1306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497,0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70,0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78,8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564"/>
              <w:jc w:val="center"/>
            </w:pPr>
            <w:r>
              <w:rPr>
                <w:lang w:val="en-US"/>
              </w:rPr>
              <w:t xml:space="preserve">Hyundai Tucson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rPr>
                <w:lang w:val="ru-RU"/>
              </w:rPr>
              <w:t xml:space="preserve">Потребительский кредит от 06.11.2020, ПАО Сбербанк</w:t>
            </w:r>
            <w:r/>
          </w:p>
        </w:tc>
      </w:tr>
      <w:tr>
        <w:trPr>
          <w:trHeight w:val="1417"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1 677 924,12</w:t>
            </w:r>
            <w:r/>
          </w:p>
        </w:tc>
        <w:tc>
          <w:tcPr>
            <w:tcW w:w="2252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framePr w:hSpace="180" w:wrap="around" w:vAnchor="page" w:hAnchor="margin" w:y="2755"/>
            </w:pP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квартира</w:t>
            </w: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(собственность общая</w:t>
            </w:r>
            <w:r>
              <w:t xml:space="preserve">)</w:t>
            </w: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земельный участок</w:t>
            </w: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(пользование)</w:t>
            </w:r>
            <w:r/>
            <w:r/>
          </w:p>
          <w:p>
            <w:pPr>
              <w:pStyle w:val="564"/>
              <w:framePr w:hSpace="180" w:wrap="around" w:vAnchor="page" w:hAnchor="margin" w:y="2755"/>
            </w:pPr>
            <w:r>
              <w:t xml:space="preserve">дача (пользование)</w:t>
            </w:r>
            <w:r/>
          </w:p>
        </w:tc>
        <w:tc>
          <w:tcPr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78,8</w:t>
            </w: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497,0</w:t>
            </w:r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70,0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  <w:r/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</w:pPr>
            <w:r/>
            <w:r/>
          </w:p>
          <w:p>
            <w:pPr>
              <w:pStyle w:val="564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564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564"/>
              <w:jc w:val="center"/>
              <w:framePr w:hSpace="180" w:wrap="around" w:vAnchor="page" w:hAnchor="margin" w:y="2755"/>
            </w:pPr>
            <w:r>
              <w:t xml:space="preserve">Квартира в залоге, договор от 18.10.2011, Банк ВТБ (ПАО)</w:t>
            </w:r>
            <w:r/>
          </w:p>
        </w:tc>
      </w:tr>
    </w:tbl>
    <w:sectPr>
      <w:footnotePr/>
      <w:type w:val="nextPage"/>
      <w:pgSz w:w="16838" w:h="11906" w:orient="landscape"/>
      <w:pgMar w:top="1134" w:right="253" w:bottom="851" w:left="1134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link w:val="4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paragraph" w:styleId="42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3">
    <w:name w:val="Caption Char"/>
    <w:basedOn w:val="422"/>
    <w:link w:val="420"/>
    <w:uiPriority w:val="99"/>
  </w:style>
  <w:style w:type="table" w:styleId="42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0">
    <w:name w:val="Hyperlink"/>
    <w:uiPriority w:val="99"/>
    <w:unhideWhenUsed/>
    <w:rPr>
      <w:color w:val="0000FF" w:themeColor="hyperlink"/>
      <w:u w:val="single"/>
    </w:rPr>
  </w:style>
  <w:style w:type="paragraph" w:styleId="551">
    <w:name w:val="footnote text"/>
    <w:link w:val="552"/>
    <w:uiPriority w:val="99"/>
    <w:semiHidden/>
    <w:unhideWhenUsed/>
    <w:rPr>
      <w:sz w:val="18"/>
    </w:rPr>
    <w:pPr>
      <w:spacing w:lineRule="auto" w:line="240" w:after="40"/>
    </w:pPr>
  </w:style>
  <w:style w:type="character" w:styleId="552">
    <w:name w:val="Footnote Text Char"/>
    <w:link w:val="551"/>
    <w:uiPriority w:val="99"/>
    <w:rPr>
      <w:sz w:val="18"/>
    </w:rPr>
  </w:style>
  <w:style w:type="character" w:styleId="553">
    <w:name w:val="footnote reference"/>
    <w:uiPriority w:val="99"/>
    <w:unhideWhenUsed/>
    <w:rPr>
      <w:vertAlign w:val="superscript"/>
    </w:rPr>
  </w:style>
  <w:style w:type="paragraph" w:styleId="554">
    <w:name w:val="toc 1"/>
    <w:uiPriority w:val="39"/>
    <w:unhideWhenUsed/>
    <w:pPr>
      <w:ind w:left="0" w:right="0" w:firstLine="0"/>
      <w:spacing w:after="57"/>
    </w:pPr>
  </w:style>
  <w:style w:type="paragraph" w:styleId="555">
    <w:name w:val="toc 2"/>
    <w:uiPriority w:val="39"/>
    <w:unhideWhenUsed/>
    <w:pPr>
      <w:ind w:left="283" w:right="0" w:firstLine="0"/>
      <w:spacing w:after="57"/>
    </w:pPr>
  </w:style>
  <w:style w:type="paragraph" w:styleId="556">
    <w:name w:val="toc 3"/>
    <w:uiPriority w:val="39"/>
    <w:unhideWhenUsed/>
    <w:pPr>
      <w:ind w:left="567" w:right="0" w:firstLine="0"/>
      <w:spacing w:after="57"/>
    </w:pPr>
  </w:style>
  <w:style w:type="paragraph" w:styleId="557">
    <w:name w:val="toc 4"/>
    <w:uiPriority w:val="39"/>
    <w:unhideWhenUsed/>
    <w:pPr>
      <w:ind w:left="850" w:right="0" w:firstLine="0"/>
      <w:spacing w:after="57"/>
    </w:pPr>
  </w:style>
  <w:style w:type="paragraph" w:styleId="558">
    <w:name w:val="toc 5"/>
    <w:uiPriority w:val="39"/>
    <w:unhideWhenUsed/>
    <w:pPr>
      <w:ind w:left="1134" w:right="0" w:firstLine="0"/>
      <w:spacing w:after="57"/>
    </w:pPr>
  </w:style>
  <w:style w:type="paragraph" w:styleId="559">
    <w:name w:val="toc 6"/>
    <w:uiPriority w:val="39"/>
    <w:unhideWhenUsed/>
    <w:pPr>
      <w:ind w:left="1417" w:right="0" w:firstLine="0"/>
      <w:spacing w:after="57"/>
    </w:pPr>
  </w:style>
  <w:style w:type="paragraph" w:styleId="560">
    <w:name w:val="toc 7"/>
    <w:uiPriority w:val="39"/>
    <w:unhideWhenUsed/>
    <w:pPr>
      <w:ind w:left="1701" w:right="0" w:firstLine="0"/>
      <w:spacing w:after="57"/>
    </w:pPr>
  </w:style>
  <w:style w:type="paragraph" w:styleId="561">
    <w:name w:val="toc 8"/>
    <w:uiPriority w:val="39"/>
    <w:unhideWhenUsed/>
    <w:pPr>
      <w:ind w:left="1984" w:right="0" w:firstLine="0"/>
      <w:spacing w:after="57"/>
    </w:pPr>
  </w:style>
  <w:style w:type="paragraph" w:styleId="562">
    <w:name w:val="toc 9"/>
    <w:uiPriority w:val="39"/>
    <w:unhideWhenUsed/>
    <w:pPr>
      <w:ind w:left="2268" w:right="0" w:firstLine="0"/>
      <w:spacing w:after="57"/>
    </w:pPr>
  </w:style>
  <w:style w:type="paragraph" w:styleId="563">
    <w:name w:val="TOC Heading"/>
    <w:uiPriority w:val="39"/>
    <w:unhideWhenUsed/>
  </w:style>
  <w:style w:type="paragraph" w:styleId="564">
    <w:name w:val="Обычный"/>
    <w:next w:val="564"/>
    <w:link w:val="564"/>
    <w:rPr>
      <w:sz w:val="24"/>
      <w:szCs w:val="24"/>
      <w:lang w:val="ru-RU" w:bidi="ar-SA" w:eastAsia="ru-RU"/>
    </w:rPr>
  </w:style>
  <w:style w:type="character" w:styleId="565">
    <w:name w:val="Основной шрифт абзаца"/>
    <w:next w:val="565"/>
    <w:link w:val="564"/>
    <w:semiHidden/>
  </w:style>
  <w:style w:type="table" w:styleId="566">
    <w:name w:val="Обычная таблица"/>
    <w:next w:val="566"/>
    <w:link w:val="564"/>
    <w:semiHidden/>
    <w:tblPr/>
  </w:style>
  <w:style w:type="numbering" w:styleId="567">
    <w:name w:val="Нет списка"/>
    <w:next w:val="567"/>
    <w:link w:val="564"/>
    <w:semiHidden/>
  </w:style>
  <w:style w:type="table" w:styleId="568">
    <w:name w:val="Сетка таблицы"/>
    <w:basedOn w:val="566"/>
    <w:next w:val="568"/>
    <w:link w:val="564"/>
    <w:tblPr/>
  </w:style>
  <w:style w:type="character" w:styleId="569">
    <w:name w:val=" Знак"/>
    <w:next w:val="569"/>
    <w:link w:val="570"/>
    <w:rPr>
      <w:sz w:val="24"/>
      <w:szCs w:val="24"/>
      <w:lang w:bidi="ar-SA"/>
    </w:rPr>
  </w:style>
  <w:style w:type="paragraph" w:styleId="570">
    <w:name w:val="Верхний колонтитул"/>
    <w:basedOn w:val="564"/>
    <w:next w:val="570"/>
    <w:link w:val="569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571" w:default="1">
    <w:name w:val="Default Paragraph Font"/>
    <w:uiPriority w:val="1"/>
    <w:semiHidden/>
    <w:unhideWhenUsed/>
  </w:style>
  <w:style w:type="numbering" w:styleId="572" w:default="1">
    <w:name w:val="No List"/>
    <w:uiPriority w:val="99"/>
    <w:semiHidden/>
    <w:unhideWhenUsed/>
  </w:style>
  <w:style w:type="paragraph" w:styleId="573" w:default="1">
    <w:name w:val="Normal"/>
    <w:qFormat/>
  </w:style>
  <w:style w:type="table" w:styleId="5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2022-05-23T08:04:35Z</dcterms:modified>
</cp:coreProperties>
</file>