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EAF" w:rsidRPr="00A32EAF" w:rsidRDefault="00A32EAF" w:rsidP="00A32EAF">
      <w:pPr>
        <w:pStyle w:val="1"/>
        <w:shd w:val="clear" w:color="auto" w:fill="FFFFFF"/>
        <w:spacing w:before="0" w:after="525"/>
        <w:rPr>
          <w:rFonts w:ascii="Verdana" w:hAnsi="Verdana"/>
          <w:color w:val="000000"/>
          <w:sz w:val="18"/>
          <w:szCs w:val="18"/>
          <w:lang w:eastAsia="ru-RU"/>
        </w:rPr>
      </w:pPr>
      <w:r w:rsidRPr="00A32EAF">
        <w:rPr>
          <w:rFonts w:ascii="Verdana" w:hAnsi="Verdana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защиты прав потребителей и благополучия человека по Сахалинской области за период с 1 января 2021 года по 31 декабря 2021 года и подлежащие размещению в информационно-телекоммуникационной сети Интернет на официальном сайте Управления Роспотребнадзора по Сахалинской области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850"/>
        <w:gridCol w:w="1412"/>
        <w:gridCol w:w="962"/>
        <w:gridCol w:w="1496"/>
        <w:gridCol w:w="931"/>
        <w:gridCol w:w="1340"/>
        <w:gridCol w:w="962"/>
        <w:gridCol w:w="931"/>
        <w:gridCol w:w="1340"/>
        <w:gridCol w:w="1310"/>
        <w:gridCol w:w="1608"/>
        <w:gridCol w:w="1464"/>
      </w:tblGrid>
      <w:tr w:rsidR="00A32EAF" w:rsidRPr="00A32EAF" w:rsidTr="00A32EAF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7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должность</w:t>
            </w:r>
          </w:p>
        </w:tc>
        <w:tc>
          <w:tcPr>
            <w:tcW w:w="1350" w:type="pct"/>
            <w:gridSpan w:val="4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00" w:type="pct"/>
            <w:gridSpan w:val="3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3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транспортные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средства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(вид,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марка)</w:t>
            </w:r>
          </w:p>
        </w:tc>
        <w:tc>
          <w:tcPr>
            <w:tcW w:w="4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декларированный годовой доход.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(руб.)</w:t>
            </w:r>
          </w:p>
        </w:tc>
        <w:tc>
          <w:tcPr>
            <w:tcW w:w="4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32EAF" w:rsidRPr="00A32EAF" w:rsidTr="00A32EAF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вид объекта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вид собственности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площадь (кв.м)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страна расположения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вид объекта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площадь (кв.м)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1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Цыганова Г.И.</w:t>
            </w:r>
          </w:p>
        </w:tc>
        <w:tc>
          <w:tcPr>
            <w:tcW w:w="7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32,9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49,7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3078408,00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гараж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49,7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22,3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42,3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Mitsubishi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Subaru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310073,00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2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Ди  Хен  Чер</w:t>
            </w:r>
          </w:p>
        </w:tc>
        <w:tc>
          <w:tcPr>
            <w:tcW w:w="7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начальник отдела организации и обеспечения деятельности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43,7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а/м   легковой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Toyota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1847313,48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lastRenderedPageBreak/>
              <w:t>3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Печенкин В.П.</w:t>
            </w:r>
          </w:p>
        </w:tc>
        <w:tc>
          <w:tcPr>
            <w:tcW w:w="7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начальник отдела юридического и кадрового обеспечения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43,8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55,2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2706987,77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4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Федосенко Е.П.</w:t>
            </w:r>
          </w:p>
        </w:tc>
        <w:tc>
          <w:tcPr>
            <w:tcW w:w="7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индивидуальная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61,4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1348742,27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61,4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61,4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5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Лузянина А.А.</w:t>
            </w:r>
          </w:p>
        </w:tc>
        <w:tc>
          <w:tcPr>
            <w:tcW w:w="7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ведущий специалист-эксперт отдела бухгалтерского учета и отчетности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  <w:bookmarkStart w:id="0" w:name="_GoBack"/>
            <w:bookmarkEnd w:id="0"/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50,9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44,3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1399600,03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50,9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44,3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265936,16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50,9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44,3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5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lastRenderedPageBreak/>
              <w:t>6</w:t>
            </w: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b/>
                <w:bCs/>
                <w:color w:val="4F4F4F"/>
                <w:sz w:val="18"/>
                <w:szCs w:val="18"/>
              </w:rPr>
              <w:t>Травкин Ю.Д.</w:t>
            </w:r>
          </w:p>
        </w:tc>
        <w:tc>
          <w:tcPr>
            <w:tcW w:w="700" w:type="pct"/>
            <w:vMerge w:val="restar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ведущий специалист-эксперт отдела организации и обеспечения деятельности</w:t>
            </w: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общая долевая (1/5 доли)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46,9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1305684,28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  <w:tr w:rsidR="00A32EAF" w:rsidRPr="00A32EAF" w:rsidTr="00A32EAF"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6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vAlign w:val="center"/>
            <w:hideMark/>
          </w:tcPr>
          <w:p w:rsidR="00A32EAF" w:rsidRPr="00A32EAF" w:rsidRDefault="00A32EAF">
            <w:pPr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квартира</w:t>
            </w: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общая долевая (1/5 доли)</w:t>
            </w: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46,9</w:t>
            </w: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Россия</w:t>
            </w:r>
          </w:p>
        </w:tc>
        <w:tc>
          <w:tcPr>
            <w:tcW w:w="3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2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  <w:tc>
          <w:tcPr>
            <w:tcW w:w="45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jc w:val="center"/>
              <w:rPr>
                <w:rFonts w:ascii="Verdana" w:hAnsi="Verdana"/>
                <w:color w:val="4F4F4F"/>
                <w:sz w:val="18"/>
                <w:szCs w:val="18"/>
              </w:rPr>
            </w:pPr>
            <w:r w:rsidRPr="00A32EAF">
              <w:rPr>
                <w:rFonts w:ascii="Verdana" w:hAnsi="Verdana"/>
                <w:color w:val="4F4F4F"/>
                <w:sz w:val="18"/>
                <w:szCs w:val="18"/>
              </w:rPr>
              <w:t>203889,53</w:t>
            </w:r>
          </w:p>
        </w:tc>
        <w:tc>
          <w:tcPr>
            <w:tcW w:w="400" w:type="pct"/>
            <w:tcBorders>
              <w:top w:val="single" w:sz="6" w:space="0" w:color="DFDFDF"/>
              <w:left w:val="single" w:sz="6" w:space="0" w:color="DFDFDF"/>
              <w:bottom w:val="single" w:sz="6" w:space="0" w:color="DFDFDF"/>
              <w:right w:val="single" w:sz="6" w:space="0" w:color="DFDFDF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32EAF" w:rsidRPr="00A32EAF" w:rsidRDefault="00A32EAF">
            <w:pPr>
              <w:pStyle w:val="a3"/>
              <w:spacing w:before="0" w:beforeAutospacing="0" w:after="240" w:afterAutospacing="0"/>
              <w:rPr>
                <w:rFonts w:ascii="Verdana" w:hAnsi="Verdana"/>
                <w:color w:val="4F4F4F"/>
                <w:sz w:val="18"/>
                <w:szCs w:val="18"/>
              </w:rPr>
            </w:pPr>
          </w:p>
        </w:tc>
      </w:tr>
    </w:tbl>
    <w:p w:rsidR="00243221" w:rsidRPr="00A32EAF" w:rsidRDefault="00243221" w:rsidP="001C34A2">
      <w:pPr>
        <w:rPr>
          <w:sz w:val="18"/>
          <w:szCs w:val="18"/>
        </w:rPr>
      </w:pPr>
    </w:p>
    <w:sectPr w:rsidR="00243221" w:rsidRPr="00A32EA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32EA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8FB3C-A3B3-410F-BEC4-8867608B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2022-06-09T06:15:00Z</dcterms:modified>
</cp:coreProperties>
</file>