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0E" w:rsidRDefault="00802E0E" w:rsidP="00802E0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Cведения об имуществе и доходах Губернатора Тюменской области за 2021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2057"/>
        <w:gridCol w:w="1103"/>
        <w:gridCol w:w="1079"/>
        <w:gridCol w:w="1547"/>
        <w:gridCol w:w="832"/>
        <w:gridCol w:w="1353"/>
        <w:gridCol w:w="1079"/>
        <w:gridCol w:w="832"/>
        <w:gridCol w:w="1353"/>
        <w:gridCol w:w="1368"/>
        <w:gridCol w:w="1278"/>
        <w:gridCol w:w="1528"/>
      </w:tblGrid>
      <w:tr w:rsidR="00802E0E" w:rsidTr="00802E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802E0E" w:rsidRDefault="00802E0E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</w:tr>
      <w:tr w:rsidR="00802E0E" w:rsidTr="00802E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Моор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Губернатор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снегоход YAMAHA VK54OE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16 578 688,28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lastRenderedPageBreak/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 xml:space="preserve">легковой </w:t>
            </w:r>
            <w:r>
              <w:lastRenderedPageBreak/>
              <w:t>автомобиль PORSCHE CAYENNE 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lastRenderedPageBreak/>
              <w:t>1 495 154,22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общая долевая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1660,6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12 000,00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</w:tr>
      <w:tr w:rsidR="00802E0E" w:rsidTr="00802E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E0E" w:rsidRDefault="00802E0E">
            <w:pPr>
              <w:rPr>
                <w:sz w:val="20"/>
                <w:szCs w:val="20"/>
              </w:rPr>
            </w:pPr>
          </w:p>
        </w:tc>
      </w:tr>
    </w:tbl>
    <w:p w:rsidR="00802E0E" w:rsidRDefault="00802E0E" w:rsidP="00802E0E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84B"/>
    <w:multiLevelType w:val="multilevel"/>
    <w:tmpl w:val="DD64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2E0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18C8"/>
  <w15:docId w15:val="{777A3CBA-032E-4DEE-8342-9CF45197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0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6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133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6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2022-05-20T15:33:00Z</dcterms:modified>
</cp:coreProperties>
</file>