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/>
      </w:pPr>
      <w:r>
        <w:rPr>
          <w:rStyle w:val="Style15"/>
          <w:b/>
          <w:bCs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yle15"/>
          <w:b/>
          <w:bCs/>
          <w:color w:val="333333"/>
          <w:sz w:val="24"/>
          <w:szCs w:val="24"/>
        </w:rPr>
        <w:t xml:space="preserve">представленные </w:t>
      </w:r>
      <w:r>
        <w:rPr>
          <w:rStyle w:val="Style15"/>
          <w:b/>
          <w:bCs/>
          <w:color w:val="333333"/>
          <w:sz w:val="24"/>
          <w:szCs w:val="24"/>
          <w:lang w:val="ru-RU"/>
        </w:rPr>
        <w:t xml:space="preserve">главой </w:t>
      </w:r>
      <w:r>
        <w:rPr>
          <w:rStyle w:val="Style15"/>
          <w:b/>
          <w:bCs/>
          <w:color w:val="333333"/>
          <w:sz w:val="24"/>
          <w:szCs w:val="24"/>
        </w:rPr>
        <w:t>Никифоровского района Тамбовской области</w:t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yle15"/>
          <w:b/>
          <w:bCs/>
          <w:color w:val="333333"/>
          <w:sz w:val="24"/>
          <w:szCs w:val="24"/>
        </w:rPr>
        <w:t xml:space="preserve">за период с </w:t>
      </w:r>
      <w:r>
        <w:rPr>
          <w:rStyle w:val="Style15"/>
          <w:b/>
          <w:bCs/>
          <w:color w:val="333333"/>
          <w:sz w:val="24"/>
          <w:szCs w:val="24"/>
          <w:lang w:val="en-US"/>
        </w:rPr>
        <w:t>0</w:t>
      </w:r>
      <w:r>
        <w:rPr>
          <w:rStyle w:val="Style15"/>
          <w:b/>
          <w:bCs/>
          <w:color w:val="333333"/>
          <w:sz w:val="24"/>
          <w:szCs w:val="24"/>
        </w:rPr>
        <w:t xml:space="preserve">1 января </w:t>
      </w:r>
      <w:r>
        <w:rPr>
          <w:rStyle w:val="Style15"/>
          <w:rFonts w:eastAsia="Calibri" w:cs="Times New Roman"/>
          <w:b/>
          <w:bCs/>
          <w:color w:val="333333"/>
          <w:sz w:val="24"/>
          <w:szCs w:val="24"/>
          <w:lang w:val="en-US" w:eastAsia="zh-CN" w:bidi="ar-SA"/>
        </w:rPr>
        <w:t>2020</w:t>
      </w:r>
      <w:r>
        <w:rPr>
          <w:rStyle w:val="Style15"/>
          <w:b/>
          <w:bCs/>
          <w:color w:val="333333"/>
          <w:sz w:val="24"/>
          <w:szCs w:val="24"/>
          <w:lang w:val="en-US"/>
        </w:rPr>
        <w:t xml:space="preserve"> </w:t>
      </w:r>
      <w:r>
        <w:rPr>
          <w:rStyle w:val="Style15"/>
          <w:b/>
          <w:bCs/>
          <w:color w:val="333333"/>
          <w:sz w:val="24"/>
          <w:szCs w:val="24"/>
        </w:rPr>
        <w:t xml:space="preserve">г. по 31 декабря </w:t>
      </w:r>
      <w:r>
        <w:rPr>
          <w:rStyle w:val="Style15"/>
          <w:rFonts w:eastAsia="Calibri" w:cs="Times New Roman"/>
          <w:b/>
          <w:bCs/>
          <w:color w:val="333333"/>
          <w:sz w:val="24"/>
          <w:szCs w:val="24"/>
          <w:lang w:val="en-US" w:eastAsia="zh-CN" w:bidi="ar-SA"/>
        </w:rPr>
        <w:t>2020</w:t>
      </w:r>
      <w:r>
        <w:rPr>
          <w:rStyle w:val="Style15"/>
          <w:b/>
          <w:bCs/>
          <w:color w:val="333333"/>
          <w:sz w:val="24"/>
          <w:szCs w:val="24"/>
          <w:lang w:val="en-US"/>
        </w:rPr>
        <w:t xml:space="preserve"> </w:t>
      </w:r>
      <w:r>
        <w:rPr>
          <w:rStyle w:val="Style15"/>
          <w:b/>
          <w:bCs/>
          <w:color w:val="333333"/>
          <w:sz w:val="24"/>
          <w:szCs w:val="24"/>
          <w:lang w:val="ru-RU"/>
        </w:rPr>
        <w:t>г.</w:t>
      </w:r>
    </w:p>
    <w:p>
      <w:pPr>
        <w:pStyle w:val="Normal"/>
        <w:spacing w:lineRule="auto" w:line="240" w:before="0" w:after="200"/>
        <w:contextualSpacing/>
        <w:jc w:val="center"/>
        <w:rPr>
          <w:rFonts w:eastAsia="Times New Roman"/>
          <w:highlight w:val="yellow"/>
        </w:rPr>
      </w:pPr>
      <w:r>
        <w:rPr/>
      </w:r>
    </w:p>
    <w:tbl>
      <w:tblPr>
        <w:tblW w:w="15547" w:type="dxa"/>
        <w:jc w:val="left"/>
        <w:tblInd w:w="-80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583"/>
        <w:gridCol w:w="1534"/>
        <w:gridCol w:w="1349"/>
        <w:gridCol w:w="1185"/>
        <w:gridCol w:w="1308"/>
        <w:gridCol w:w="793"/>
        <w:gridCol w:w="1069"/>
        <w:gridCol w:w="2"/>
        <w:gridCol w:w="1191"/>
        <w:gridCol w:w="858"/>
        <w:gridCol w:w="1132"/>
        <w:gridCol w:w="3"/>
        <w:gridCol w:w="1550"/>
        <w:gridCol w:w="3"/>
        <w:gridCol w:w="1615"/>
        <w:gridCol w:w="3"/>
        <w:gridCol w:w="1368"/>
      </w:tblGrid>
      <w:tr>
        <w:trPr>
          <w:trHeight w:val="640" w:hRule="atLeast"/>
          <w:cantSplit w:val="true"/>
        </w:trPr>
        <w:tc>
          <w:tcPr>
            <w:tcW w:w="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пп </w:t>
            </w:r>
          </w:p>
        </w:tc>
        <w:tc>
          <w:tcPr>
            <w:tcW w:w="1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3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Транспорт-ные средства, (вид, марка)</w:t>
            </w:r>
          </w:p>
        </w:tc>
        <w:tc>
          <w:tcPr>
            <w:tcW w:w="16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Деклариро-ванный годовой доход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3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>
        <w:trPr>
          <w:trHeight w:val="640" w:hRule="atLeast"/>
          <w:cantSplit w:val="true"/>
        </w:trPr>
        <w:tc>
          <w:tcPr>
            <w:tcW w:w="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76" w:before="0" w:after="200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76" w:before="0" w:after="200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3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76" w:before="0" w:after="200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1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76" w:before="0" w:after="2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76" w:before="0" w:after="200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76" w:before="0" w:after="200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>1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Голенков Евгений Владимирович</w:t>
            </w:r>
          </w:p>
        </w:tc>
        <w:tc>
          <w:tcPr>
            <w:tcW w:w="13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Никифоровского района Тамбовской области 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 xml:space="preserve">Земельный участок </w:t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общая долевая, 1/4 доли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1211,0</w:t>
            </w:r>
          </w:p>
        </w:tc>
        <w:tc>
          <w:tcPr>
            <w:tcW w:w="1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en-US" w:eastAsia="zh-CN" w:bidi="ar-SA"/>
              </w:rPr>
              <w:t>Земельный участок (аренда)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358,0</w:t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Легковой автомобиль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ВАЗ 21093,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1995 г.</w:t>
            </w:r>
          </w:p>
        </w:tc>
        <w:tc>
          <w:tcPr>
            <w:tcW w:w="16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1023753,00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3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 xml:space="preserve">Земельный участок </w:t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 xml:space="preserve">индивидуальная 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Легковой автомобиль</w:t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ВАЗ LADA GFK110 LADA VESTA,</w:t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 xml:space="preserve">2018 г.    </w:t>
            </w:r>
          </w:p>
        </w:tc>
        <w:tc>
          <w:tcPr>
            <w:tcW w:w="16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3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  <w:t>Жилой дом</w:t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  <w:t>общая долевая, 1/4 доли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1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3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  <w:t xml:space="preserve">Квартира  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  <w:t>общая долевая, 1/3 доли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41,6</w:t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3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  <w:t xml:space="preserve">Квартира  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  <w:t>общая совместная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25,5</w:t>
            </w:r>
          </w:p>
        </w:tc>
        <w:tc>
          <w:tcPr>
            <w:tcW w:w="1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63" w:hRule="atLeast"/>
        </w:trPr>
        <w:tc>
          <w:tcPr>
            <w:tcW w:w="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3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  <w:t>Сарай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  <w:t xml:space="preserve">индивидуальная </w:t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1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/>
            </w:pPr>
            <w:r>
              <w:rPr>
                <w:color w:val="000000"/>
                <w:sz w:val="18"/>
                <w:szCs w:val="18"/>
              </w:rPr>
              <w:t>общая долевая, 1/4 доли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1211,0</w:t>
            </w:r>
          </w:p>
        </w:tc>
        <w:tc>
          <w:tcPr>
            <w:tcW w:w="1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/>
            </w:pPr>
            <w:r>
              <w:rPr>
                <w:color w:val="000000"/>
                <w:sz w:val="18"/>
                <w:szCs w:val="18"/>
              </w:rPr>
              <w:t>общая долевая, 1/4 доли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1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spacing w:before="0" w:after="200"/>
        <w:jc w:val="both"/>
        <w:rPr>
          <w:b w:val="false"/>
          <w:b w:val="false"/>
          <w:i w:val="false"/>
          <w:i w:val="false"/>
          <w:strike w:val="false"/>
          <w:dstrike w:val="false"/>
          <w:u w:val="none"/>
        </w:rPr>
      </w:pPr>
      <w:r>
        <w:rPr>
          <w:b w:val="false"/>
          <w:i w:val="false"/>
          <w:strike w:val="false"/>
          <w:dstrike w:val="false"/>
          <w:u w:val="none"/>
        </w:rPr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orient="landscape" w:w="16838" w:h="11906"/>
      <w:pgMar w:left="1134" w:right="1134" w:header="0" w:top="709" w:footer="0" w:bottom="851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/>
      <w:color w:val="00000A"/>
      <w:sz w:val="28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504</TotalTime>
  <Application>LibreOffice/5.3.1.2$Windows_x86 LibreOffice_project/e80a0e0fd1875e1696614d24c32df0f95f03deb2</Application>
  <Pages>2</Pages>
  <Words>168</Words>
  <Characters>1124</Characters>
  <CharactersWithSpaces>1245</CharactersWithSpaces>
  <Paragraphs>66</Paragraphs>
  <Company>КонсультантПлюс Версия 4019.00.23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2020-03-26T16:22:00Z</dcterms:created>
  <dc:creator>Карпенко Н.И.</dc:creator>
  <dc:description/>
  <dc:language>ru-RU</dc:language>
  <cp:lastModifiedBy/>
  <cp:lastPrinted>2018-04-28T09:34:00Z</cp:lastPrinted>
  <dcterms:modified xsi:type="dcterms:W3CDTF">2021-05-04T14:46:06Z</dcterms:modified>
  <cp:revision>106</cp:revision>
  <dc:subject/>
  <dc:title>Приказ Госкорпорации "Росатом" от 18.04.2014 N 1/378-П(ред. от 02.02.2018)"О мерах по реализации Указа Президента Российской Федерации от 08.07.2013 N 613 "Вопросы противодействия коррупции"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4019.00.23</vt:lpwstr>
  </property>
</Properties>
</file>