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F1300C" w:rsidRPr="00F1300C" w:rsidTr="00F130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1300C" w:rsidRPr="00F1300C" w:rsidRDefault="00F1300C" w:rsidP="00F1300C">
            <w:pPr>
              <w:spacing w:after="0" w:line="0" w:lineRule="auto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30.04.2021 13:39</w:t>
            </w:r>
          </w:p>
        </w:tc>
      </w:tr>
      <w:tr w:rsidR="00F1300C" w:rsidRPr="00F1300C" w:rsidTr="00F130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Сведения о доходах, имуществе и обязательствах имущественного характера муниципальных служащих и членов их семей Контрольно-счетной палаты муниципального образования «Майкопский район»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за период с 1 января 2020 года по 31 декабря 2020 года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tbl>
            <w:tblPr>
              <w:tblW w:w="1563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84"/>
              <w:gridCol w:w="1363"/>
              <w:gridCol w:w="1767"/>
              <w:gridCol w:w="1584"/>
              <w:gridCol w:w="940"/>
              <w:gridCol w:w="1398"/>
              <w:gridCol w:w="1439"/>
              <w:gridCol w:w="1413"/>
              <w:gridCol w:w="1452"/>
              <w:gridCol w:w="940"/>
              <w:gridCol w:w="1308"/>
            </w:tblGrid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Замещаемая должность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2019 год (руб.)</w:t>
                  </w:r>
                </w:p>
              </w:tc>
              <w:tc>
                <w:tcPr>
                  <w:tcW w:w="654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9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недвижимости, вид собственности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Вид транспортного средства, вид собственности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ind w:right="-244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F1300C" w:rsidRPr="00F1300C">
              <w:trPr>
                <w:trHeight w:val="660"/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Акиндинова Наталья Евгеньевна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816650,6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½ часть домовладения, индивидуальная собственность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собственность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½ часть домовладения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Маслова Ирина Федоровна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476602,51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</w:pPr>
                  <w:proofErr w:type="gramStart"/>
                  <w:r w:rsidRPr="00F1300C"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  <w:t>Квартира ,</w:t>
                  </w:r>
                  <w:proofErr w:type="gramEnd"/>
                  <w:r w:rsidRPr="00F1300C"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  <w:t xml:space="preserve"> собственность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  <w:t>Квартира, собственность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0"/>
                      <w:szCs w:val="24"/>
                      <w:lang w:eastAsia="ru-RU"/>
                    </w:rPr>
                    <w:t>Земельный участок, собственность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lastRenderedPageBreak/>
                    <w:t>46,8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30,9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740,0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1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8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8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Times New Roman"/>
                      <w:spacing w:val="-8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pacing w:val="-8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собственность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MITSUBISHI-COLT-1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Жилой дом, собственность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52,3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300C" w:rsidRPr="00F1300C" w:rsidRDefault="00F1300C" w:rsidP="00F1300C">
                  <w:pPr>
                    <w:shd w:val="clear" w:color="auto" w:fill="FFFFFF"/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1300C" w:rsidRPr="00F1300C">
              <w:trPr>
                <w:trHeight w:val="780"/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Малова Елена Юрьевна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431476,56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57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433170,09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Земельный участок,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индивидуальная собственность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Hyundai Solaris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1300C" w:rsidRPr="00F1300C">
              <w:trPr>
                <w:tblCellSpacing w:w="0" w:type="dxa"/>
              </w:trPr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несовершеннолетняя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5206,9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Земельный участок, жилой дом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110,3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1300C" w:rsidRPr="00F1300C" w:rsidRDefault="00F1300C" w:rsidP="00F130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1300C" w:rsidRPr="00F1300C" w:rsidRDefault="00F1300C" w:rsidP="00F1300C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1300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  <w:p w:rsidR="00F1300C" w:rsidRPr="00F1300C" w:rsidRDefault="00F1300C" w:rsidP="00F1300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30.04.2021 год ___________________ Н. Е. Акиндинова</w:t>
            </w:r>
          </w:p>
          <w:p w:rsidR="00F1300C" w:rsidRPr="00F1300C" w:rsidRDefault="00F1300C" w:rsidP="00F1300C">
            <w:pPr>
              <w:spacing w:after="75" w:line="312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F130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30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B0882-BDB2-46F7-8535-C752AD96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F130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2021-07-15T06:16:00Z</dcterms:modified>
</cp:coreProperties>
</file>