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center"/>
        <w:spacing w:lineRule="auto" w:line="240"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Сведения о доходах, расходах, имуществе и обязательствах имущественного характера лиц, замещающих должности, включенные </w:t>
      </w:r>
      <w:r>
        <w:rPr>
          <w:color w:val="000000" w:themeColor="text1"/>
        </w:rPr>
      </w:r>
    </w:p>
    <w:p>
      <w:pPr>
        <w:pStyle w:val="812"/>
        <w:jc w:val="center"/>
        <w:spacing w:lineRule="auto" w:line="240"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перечень должностей,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утвержденный постановлением админис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трации Костромской области от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16 декабря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2016 года №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49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-а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2"/>
        <w:jc w:val="center"/>
        <w:spacing w:lineRule="auto" w:line="240"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за 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2"/>
        <w:jc w:val="center"/>
        <w:spacing w:lineRule="auto" w:line="240"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Департамент информационной политики, аналитики и развития коммуникационных ресурсов Костромской области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color w:val="000000" w:themeColor="text1"/>
        </w:rPr>
      </w:r>
    </w:p>
    <w:tbl>
      <w:tblPr>
        <w:tblW w:w="0" w:type="auto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4"/>
        <w:gridCol w:w="1619"/>
        <w:gridCol w:w="2268"/>
        <w:gridCol w:w="1134"/>
        <w:gridCol w:w="1276"/>
        <w:gridCol w:w="992"/>
        <w:gridCol w:w="992"/>
        <w:gridCol w:w="1134"/>
        <w:gridCol w:w="992"/>
        <w:gridCol w:w="993"/>
        <w:gridCol w:w="1701"/>
        <w:gridCol w:w="1261"/>
        <w:gridCol w:w="1526"/>
      </w:tblGrid>
      <w:tr>
        <w:trPr>
          <w:cantSplit/>
        </w:trPr>
        <w:tc>
          <w:tcPr>
            <w:tcW w:w="47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19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Фамилия, инициалы должностного лица, чьи сведения размещаются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4"/>
            <w:tcW w:w="439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Объекты недвижимости, находящиеся в собственности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W w:w="3119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Объекты недвижимости, находящиеся в пользовании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Транспортные средства (вид, марка)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Декларированный годовой доход (руб.)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вид объекта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вид собственности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площадь (кв.м)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страна расположения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вид объекта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площадь (кв.м)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color w:val="000000" w:themeColor="text1"/>
                <w:sz w:val="20"/>
                <w:szCs w:val="20"/>
                <w:lang w:eastAsia="ru-RU"/>
              </w:rPr>
              <w:t xml:space="preserve">страна расположения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</w:trPr>
        <w:tc>
          <w:tcPr>
            <w:tcW w:w="47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19" w:type="dxa"/>
            <w:vAlign w:val="top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Жабко Ирина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Директор департамента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(1/2)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64,8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1 366 179,83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(1/2)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42,6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64,8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629 431,74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(1/2)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64,8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</w:t>
            </w:r>
            <w:r>
              <w:rPr>
                <w:color w:val="000000" w:themeColor="text1"/>
              </w:rPr>
            </w:r>
          </w:p>
        </w:tc>
        <w:tc>
          <w:tcPr>
            <w:tcW w:w="1619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Солопова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Ирина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Васильевна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директора департамента по экономике и административной работе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57,8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1 028 923,23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1586,0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  <w:trHeight w:val="233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22,4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Фольксваген Тигуан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568 090,10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rPr>
          <w:trHeight w:val="233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558ED4"/>
                <w:sz w:val="20"/>
                <w:szCs w:val="20"/>
              </w:rPr>
            </w:pPr>
            <w:r>
              <w:rPr>
                <w:rFonts w:ascii="Times New Roman" w:hAnsi="Times New Roman"/>
                <w:color w:val="558ED4" w:themeColor="text2" w:themeTint="99"/>
                <w:sz w:val="20"/>
                <w:szCs w:val="20"/>
              </w:rPr>
            </w:r>
            <w:r>
              <w:rPr>
                <w:rFonts w:ascii="Times New Roman" w:hAnsi="Times New Roman"/>
                <w:color w:val="558ED4" w:themeColor="text2" w:themeTint="99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r>
            <w:r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r>
            <w:r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r>
            <w:r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r>
            <w:r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r>
            <w:r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УАЗ 31514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4F81BD"/>
                <w:sz w:val="20"/>
                <w:szCs w:val="20"/>
              </w:rPr>
            </w:pPr>
            <w:r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r>
            <w:r>
              <w:rPr>
                <w:rFonts w:ascii="Times New Roman" w:hAnsi="Times New Roman"/>
                <w:color w:val="4F81BD" w:themeColor="accent1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  <w:trHeight w:val="232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СУЗУКИ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SX4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trHeight w:val="232"/>
        </w:trPr>
        <w:tc>
          <w:tcPr>
            <w:tcW w:w="45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Харитонова Евгения Александровна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81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Заместитель директора департамента по информационной политике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5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7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98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10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99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758 089,69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32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44,3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2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(1/4)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81,7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2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81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(1/4)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81,7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5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7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98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10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99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686 550,05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232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66,4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2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47,7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trHeight w:val="232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50,1</w:t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rPr>
          <w:cantSplit/>
        </w:trPr>
        <w:tc>
          <w:tcPr>
            <w:tcW w:w="47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</w:t>
            </w:r>
            <w:r>
              <w:rPr>
                <w:color w:val="000000" w:themeColor="text1"/>
              </w:rPr>
            </w:r>
          </w:p>
        </w:tc>
        <w:tc>
          <w:tcPr>
            <w:tcW w:w="1619" w:type="dxa"/>
            <w:vAlign w:val="top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Попрядухина Наталья Николаевна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Заведующий сектором экономики и финансов – главный бухгалтер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45,6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713 074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,08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230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45,6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Mercedes-benz 1840 Actros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144 648,00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Renualt Logan (SR)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(1/9)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91,7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45,6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45,6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19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Колчанова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Светлана Владимировна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Консультант сектора экономики и финансов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83,0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1 343 922,57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72,0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(1/4)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40,5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</w:tr>
      <w:tr>
        <w:trPr>
          <w:cantSplit/>
          <w:trHeight w:val="473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</w:tr>
      <w:tr>
        <w:trPr>
          <w:cantSplit/>
          <w:trHeight w:val="458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(1/4)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40,5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72,0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10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Шкода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RAPID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trHeight w:val="458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558ED4"/>
                <w:sz w:val="20"/>
                <w:szCs w:val="20"/>
              </w:rPr>
            </w:pPr>
            <w:r>
              <w:rPr>
                <w:rFonts w:ascii="Times New Roman" w:hAnsi="Times New Roman"/>
                <w:color w:val="558ED4" w:themeColor="text2" w:themeTint="99"/>
                <w:sz w:val="20"/>
                <w:szCs w:val="20"/>
              </w:rPr>
            </w:r>
            <w:r>
              <w:rPr>
                <w:rFonts w:ascii="Times New Roman" w:hAnsi="Times New Roman"/>
                <w:color w:val="558ED4" w:themeColor="text2" w:themeTint="99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558ED4"/>
                <w:sz w:val="20"/>
                <w:szCs w:val="20"/>
              </w:rPr>
            </w:pPr>
            <w:r>
              <w:rPr>
                <w:rFonts w:ascii="Times New Roman" w:hAnsi="Times New Roman"/>
                <w:color w:val="558ED4" w:themeColor="text2" w:themeTint="99"/>
                <w:sz w:val="20"/>
                <w:szCs w:val="20"/>
              </w:rPr>
            </w:r>
            <w:r>
              <w:rPr>
                <w:rFonts w:ascii="Times New Roman" w:hAnsi="Times New Roman"/>
                <w:color w:val="558ED4" w:themeColor="text2" w:themeTint="99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558ED4"/>
                <w:sz w:val="20"/>
                <w:szCs w:val="20"/>
              </w:rPr>
            </w:pPr>
            <w:r>
              <w:rPr>
                <w:rFonts w:ascii="Times New Roman" w:hAnsi="Times New Roman"/>
                <w:color w:val="558ED4" w:themeColor="text2" w:themeTint="99"/>
                <w:sz w:val="20"/>
                <w:szCs w:val="20"/>
              </w:rPr>
            </w:r>
            <w:r>
              <w:rPr>
                <w:rFonts w:ascii="Times New Roman" w:hAnsi="Times New Roman"/>
                <w:color w:val="558ED4" w:themeColor="text2" w:themeTint="99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558ED4"/>
                <w:sz w:val="20"/>
                <w:szCs w:val="20"/>
              </w:rPr>
            </w:pPr>
            <w:r>
              <w:rPr>
                <w:rFonts w:ascii="Times New Roman" w:hAnsi="Times New Roman"/>
                <w:color w:val="558ED4" w:themeColor="text2" w:themeTint="99"/>
                <w:sz w:val="20"/>
                <w:szCs w:val="20"/>
              </w:rPr>
            </w:r>
            <w:r>
              <w:rPr>
                <w:rFonts w:ascii="Times New Roman" w:hAnsi="Times New Roman"/>
                <w:color w:val="558ED4" w:themeColor="text2" w:themeTint="99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558ED4"/>
                <w:sz w:val="20"/>
                <w:szCs w:val="20"/>
              </w:rPr>
            </w:pPr>
            <w:r>
              <w:rPr>
                <w:rFonts w:ascii="Times New Roman" w:hAnsi="Times New Roman"/>
                <w:color w:val="558ED4" w:themeColor="text2" w:themeTint="99"/>
                <w:sz w:val="20"/>
                <w:szCs w:val="20"/>
              </w:rPr>
            </w:r>
            <w:r>
              <w:rPr>
                <w:rFonts w:ascii="Times New Roman" w:hAnsi="Times New Roman"/>
                <w:color w:val="558ED4" w:themeColor="text2" w:themeTint="99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558ED4"/>
                <w:sz w:val="20"/>
                <w:szCs w:val="20"/>
              </w:rPr>
            </w:pPr>
            <w:r>
              <w:rPr>
                <w:rFonts w:ascii="Times New Roman" w:hAnsi="Times New Roman"/>
                <w:color w:val="558ED4" w:themeColor="text2" w:themeTint="99"/>
                <w:sz w:val="20"/>
                <w:szCs w:val="20"/>
              </w:rPr>
            </w:r>
            <w:r>
              <w:rPr>
                <w:rFonts w:ascii="Times New Roman" w:hAnsi="Times New Roman"/>
                <w:color w:val="558ED4" w:themeColor="text2" w:themeTint="99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left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558ED4"/>
                <w:sz w:val="20"/>
                <w:szCs w:val="20"/>
              </w:rPr>
            </w:pPr>
            <w:r>
              <w:rPr>
                <w:rFonts w:ascii="Times New Roman" w:hAnsi="Times New Roman"/>
                <w:color w:val="558ED4" w:themeColor="text2" w:themeTint="99"/>
                <w:sz w:val="20"/>
                <w:szCs w:val="20"/>
              </w:rPr>
            </w:r>
            <w:r>
              <w:rPr>
                <w:rFonts w:ascii="Times New Roman" w:hAnsi="Times New Roman"/>
                <w:color w:val="558ED4" w:themeColor="text2" w:themeTint="99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</w:tr>
      <w:tr>
        <w:trPr>
          <w:cantSplit/>
          <w:trHeight w:val="230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83,0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Луидор -3010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  <w:trHeight w:val="225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27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48,0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(1/4)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40,5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83,0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несовершеннолетний ребенок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(1/4)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40,5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83,0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2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305"/>
        </w:trPr>
        <w:tc>
          <w:tcPr>
            <w:tcW w:w="45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6.</w:t>
            </w:r>
            <w:r>
              <w:rPr>
                <w:color w:val="000000" w:themeColor="text1"/>
              </w:rPr>
            </w:r>
          </w:p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19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азуваева Надежда Сергеевна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Заведующий сектором работы с подведомственными учреждениями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5085,0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</w:p>
        </w:tc>
        <w:tc>
          <w:tcPr>
            <w:tcW w:w="1261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849 272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 xml:space="preserve">,36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2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305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(2/3)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33,5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  <w:trHeight w:val="305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77,6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  <w:trHeight w:val="305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48,6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</w:r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</w:tr>
      <w:tr>
        <w:trPr>
          <w:cantSplit/>
          <w:trHeight w:val="230"/>
        </w:trPr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/>
          </w:p>
        </w:tc>
        <w:tc>
          <w:tcPr>
            <w:tcW w:w="18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781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Долевая (1/3)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33,5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5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7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77,6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98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10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99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480 940,54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47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6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6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Индивидуальная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64,8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vMerge w:val="restart"/>
            <w:textDirection w:val="lrTb"/>
            <w:noWrap w:val="false"/>
          </w:tcPr>
          <w:p>
            <w:pPr>
              <w:pStyle w:val="812"/>
              <w:jc w:val="center"/>
              <w:spacing w:lineRule="auto" w:line="240"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2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993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61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26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</w:tbl>
    <w:p>
      <w:pPr>
        <w:pStyle w:val="812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12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</w:p>
    <w:sectPr>
      <w:footnotePr/>
      <w:endnotePr/>
      <w:type w:val="nextPage"/>
      <w:pgSz w:w="16838" w:h="11906" w:orient="landscape"/>
      <w:pgMar w:top="1134" w:right="346" w:bottom="346" w:left="346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table of figures"/>
    <w:basedOn w:val="819"/>
    <w:next w:val="819"/>
    <w:uiPriority w:val="99"/>
    <w:unhideWhenUsed/>
    <w:pPr>
      <w:spacing w:after="0" w:afterAutospacing="0"/>
    </w:pPr>
  </w:style>
  <w:style w:type="paragraph" w:styleId="635">
    <w:name w:val="Heading 1"/>
    <w:link w:val="63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6">
    <w:name w:val="Heading 1 Char"/>
    <w:link w:val="635"/>
    <w:uiPriority w:val="9"/>
    <w:rPr>
      <w:rFonts w:ascii="Arial" w:hAnsi="Arial" w:cs="Arial" w:eastAsia="Arial"/>
      <w:sz w:val="40"/>
      <w:szCs w:val="40"/>
    </w:rPr>
  </w:style>
  <w:style w:type="paragraph" w:styleId="637">
    <w:name w:val="Heading 2"/>
    <w:link w:val="63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8">
    <w:name w:val="Heading 2 Char"/>
    <w:link w:val="637"/>
    <w:uiPriority w:val="9"/>
    <w:rPr>
      <w:rFonts w:ascii="Arial" w:hAnsi="Arial" w:cs="Arial" w:eastAsia="Arial"/>
      <w:sz w:val="34"/>
    </w:rPr>
  </w:style>
  <w:style w:type="paragraph" w:styleId="639">
    <w:name w:val="Heading 3"/>
    <w:link w:val="64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0">
    <w:name w:val="Heading 3 Char"/>
    <w:link w:val="639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link w:val="64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2">
    <w:name w:val="Heading 4 Char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link w:val="64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4">
    <w:name w:val="Heading 5 Char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link w:val="64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6">
    <w:name w:val="Heading 6 Char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link w:val="64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8">
    <w:name w:val="Heading 7 Char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link w:val="65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0">
    <w:name w:val="Heading 8 Char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link w:val="65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2">
    <w:name w:val="Heading 9 Char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List Paragraph"/>
    <w:qFormat/>
    <w:uiPriority w:val="34"/>
    <w:pPr>
      <w:contextualSpacing w:val="true"/>
      <w:ind w:left="720"/>
    </w:pPr>
  </w:style>
  <w:style w:type="paragraph" w:styleId="654">
    <w:name w:val="No Spacing"/>
    <w:qFormat/>
    <w:uiPriority w:val="1"/>
    <w:pPr>
      <w:spacing w:lineRule="auto" w:line="240" w:after="0" w:before="0"/>
    </w:pPr>
  </w:style>
  <w:style w:type="paragraph" w:styleId="655">
    <w:name w:val="Title"/>
    <w:link w:val="65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6">
    <w:name w:val="Title Char"/>
    <w:link w:val="655"/>
    <w:uiPriority w:val="10"/>
    <w:rPr>
      <w:sz w:val="48"/>
      <w:szCs w:val="48"/>
    </w:rPr>
  </w:style>
  <w:style w:type="paragraph" w:styleId="657">
    <w:name w:val="Subtitle"/>
    <w:link w:val="658"/>
    <w:qFormat/>
    <w:uiPriority w:val="11"/>
    <w:rPr>
      <w:sz w:val="24"/>
      <w:szCs w:val="24"/>
    </w:rPr>
    <w:pPr>
      <w:spacing w:after="200" w:before="200"/>
    </w:pPr>
  </w:style>
  <w:style w:type="character" w:styleId="658">
    <w:name w:val="Subtitle Char"/>
    <w:link w:val="657"/>
    <w:uiPriority w:val="11"/>
    <w:rPr>
      <w:sz w:val="24"/>
      <w:szCs w:val="24"/>
    </w:rPr>
  </w:style>
  <w:style w:type="paragraph" w:styleId="659">
    <w:name w:val="Quote"/>
    <w:link w:val="660"/>
    <w:qFormat/>
    <w:uiPriority w:val="29"/>
    <w:rPr>
      <w:i/>
    </w:rPr>
    <w:pPr>
      <w:ind w:left="720" w:right="720"/>
    </w:p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link w:val="662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link w:val="664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4">
    <w:name w:val="Header Char"/>
    <w:link w:val="663"/>
    <w:uiPriority w:val="99"/>
  </w:style>
  <w:style w:type="paragraph" w:styleId="665">
    <w:name w:val="Footer"/>
    <w:link w:val="668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6">
    <w:name w:val="Footer Char"/>
    <w:link w:val="665"/>
    <w:uiPriority w:val="99"/>
  </w:style>
  <w:style w:type="paragraph" w:styleId="667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8">
    <w:name w:val="Caption Char"/>
    <w:basedOn w:val="667"/>
    <w:link w:val="665"/>
    <w:uiPriority w:val="99"/>
  </w:style>
  <w:style w:type="table" w:styleId="669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6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8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9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0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1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2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3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4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05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08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11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3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4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5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6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7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8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9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1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2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3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4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5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6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7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9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0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1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2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3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4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75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76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77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78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79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80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81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782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783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784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785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786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787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788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9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0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1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2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3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4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link w:val="797"/>
    <w:uiPriority w:val="99"/>
    <w:semiHidden/>
    <w:unhideWhenUsed/>
    <w:rPr>
      <w:sz w:val="18"/>
    </w:rPr>
    <w:pPr>
      <w:spacing w:lineRule="auto" w:line="240" w:after="40"/>
    </w:p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uiPriority w:val="99"/>
    <w:unhideWhenUsed/>
    <w:rPr>
      <w:vertAlign w:val="superscript"/>
    </w:rPr>
  </w:style>
  <w:style w:type="paragraph" w:styleId="799">
    <w:name w:val="endnote text"/>
    <w:link w:val="800"/>
    <w:uiPriority w:val="99"/>
    <w:semiHidden/>
    <w:unhideWhenUsed/>
    <w:rPr>
      <w:sz w:val="20"/>
    </w:rPr>
    <w:pPr>
      <w:spacing w:lineRule="auto" w:line="240" w:after="0"/>
    </w:p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uiPriority w:val="99"/>
    <w:semiHidden/>
    <w:unhideWhenUsed/>
    <w:rPr>
      <w:vertAlign w:val="superscript"/>
    </w:rPr>
  </w:style>
  <w:style w:type="paragraph" w:styleId="802">
    <w:name w:val="toc 1"/>
    <w:uiPriority w:val="39"/>
    <w:unhideWhenUsed/>
    <w:pPr>
      <w:ind w:left="0" w:right="0" w:firstLine="0"/>
      <w:spacing w:after="57"/>
    </w:pPr>
  </w:style>
  <w:style w:type="paragraph" w:styleId="803">
    <w:name w:val="toc 2"/>
    <w:uiPriority w:val="39"/>
    <w:unhideWhenUsed/>
    <w:pPr>
      <w:ind w:left="283" w:right="0" w:firstLine="0"/>
      <w:spacing w:after="57"/>
    </w:pPr>
  </w:style>
  <w:style w:type="paragraph" w:styleId="804">
    <w:name w:val="toc 3"/>
    <w:uiPriority w:val="39"/>
    <w:unhideWhenUsed/>
    <w:pPr>
      <w:ind w:left="567" w:right="0" w:firstLine="0"/>
      <w:spacing w:after="57"/>
    </w:pPr>
  </w:style>
  <w:style w:type="paragraph" w:styleId="805">
    <w:name w:val="toc 4"/>
    <w:uiPriority w:val="39"/>
    <w:unhideWhenUsed/>
    <w:pPr>
      <w:ind w:left="850" w:right="0" w:firstLine="0"/>
      <w:spacing w:after="57"/>
    </w:pPr>
  </w:style>
  <w:style w:type="paragraph" w:styleId="806">
    <w:name w:val="toc 5"/>
    <w:uiPriority w:val="39"/>
    <w:unhideWhenUsed/>
    <w:pPr>
      <w:ind w:left="1134" w:right="0" w:firstLine="0"/>
      <w:spacing w:after="57"/>
    </w:pPr>
  </w:style>
  <w:style w:type="paragraph" w:styleId="807">
    <w:name w:val="toc 6"/>
    <w:uiPriority w:val="39"/>
    <w:unhideWhenUsed/>
    <w:pPr>
      <w:ind w:left="1417" w:right="0" w:firstLine="0"/>
      <w:spacing w:after="57"/>
    </w:pPr>
  </w:style>
  <w:style w:type="paragraph" w:styleId="808">
    <w:name w:val="toc 7"/>
    <w:uiPriority w:val="39"/>
    <w:unhideWhenUsed/>
    <w:pPr>
      <w:ind w:left="1701" w:right="0" w:firstLine="0"/>
      <w:spacing w:after="57"/>
    </w:pPr>
  </w:style>
  <w:style w:type="paragraph" w:styleId="809">
    <w:name w:val="toc 8"/>
    <w:uiPriority w:val="39"/>
    <w:unhideWhenUsed/>
    <w:pPr>
      <w:ind w:left="1984" w:right="0" w:firstLine="0"/>
      <w:spacing w:after="57"/>
    </w:pPr>
  </w:style>
  <w:style w:type="paragraph" w:styleId="810">
    <w:name w:val="toc 9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Обычный"/>
    <w:next w:val="812"/>
    <w:link w:val="812"/>
    <w:rPr>
      <w:sz w:val="22"/>
      <w:szCs w:val="22"/>
      <w:lang w:val="ru-RU" w:bidi="ar-SA" w:eastAsia="en-US"/>
    </w:rPr>
    <w:pPr>
      <w:spacing w:lineRule="auto" w:line="276" w:after="200"/>
    </w:pPr>
  </w:style>
  <w:style w:type="character" w:styleId="813">
    <w:name w:val="Основной шрифт абзаца"/>
    <w:next w:val="813"/>
    <w:link w:val="812"/>
    <w:semiHidden/>
  </w:style>
  <w:style w:type="table" w:styleId="814">
    <w:name w:val="Обычная таблица"/>
    <w:next w:val="814"/>
    <w:link w:val="812"/>
    <w:semiHidden/>
    <w:tblPr/>
  </w:style>
  <w:style w:type="numbering" w:styleId="815">
    <w:name w:val="Нет списка"/>
    <w:next w:val="815"/>
    <w:link w:val="812"/>
    <w:semiHidden/>
  </w:style>
  <w:style w:type="table" w:styleId="816">
    <w:name w:val="Сетка таблицы"/>
    <w:basedOn w:val="814"/>
    <w:next w:val="816"/>
    <w:link w:val="812"/>
    <w:tblPr/>
  </w:style>
  <w:style w:type="character" w:styleId="817" w:default="1">
    <w:name w:val="Default Paragraph Font"/>
    <w:uiPriority w:val="1"/>
    <w:semiHidden/>
    <w:unhideWhenUsed/>
  </w:style>
  <w:style w:type="numbering" w:styleId="818" w:default="1">
    <w:name w:val="No List"/>
    <w:uiPriority w:val="99"/>
    <w:semiHidden/>
    <w:unhideWhenUsed/>
  </w:style>
  <w:style w:type="paragraph" w:styleId="819" w:default="1">
    <w:name w:val="Normal"/>
    <w:qFormat/>
  </w:style>
  <w:style w:type="table" w:styleId="8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6</cp:revision>
  <dcterms:modified xsi:type="dcterms:W3CDTF">2021-05-25T08:53:24Z</dcterms:modified>
</cp:coreProperties>
</file>