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8F" w:rsidRPr="005E3A8F" w:rsidRDefault="005E3A8F" w:rsidP="005E3A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2D5B0F" w:rsidRDefault="0097340E" w:rsidP="005E3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</w:t>
      </w:r>
      <w:r w:rsidR="005E3A8F"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характера,</w:t>
      </w:r>
      <w:r w:rsidR="005E3A8F"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представленные </w:t>
      </w:r>
      <w:r w:rsidR="005E3A8F" w:rsidRPr="005E3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ями </w:t>
      </w:r>
      <w:r w:rsidR="005E3A8F" w:rsidRPr="005E3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государственных учреждений Санкт-Петербурга, </w:t>
      </w:r>
    </w:p>
    <w:p w:rsidR="00061B99" w:rsidRDefault="005E3A8F" w:rsidP="005E3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E3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подведомственных Комитету по транспорту</w:t>
      </w:r>
      <w:r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:rsidR="005E3A8F" w:rsidRPr="005E3A8F" w:rsidRDefault="005E3A8F" w:rsidP="005E3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отчетный период с 1 января 2020 года по 31 декабря 2020 года</w:t>
      </w:r>
    </w:p>
    <w:p w:rsidR="005E3A8F" w:rsidRPr="005E3A8F" w:rsidRDefault="005E3A8F" w:rsidP="005E3A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418"/>
        <w:gridCol w:w="709"/>
        <w:gridCol w:w="850"/>
        <w:gridCol w:w="9"/>
        <w:gridCol w:w="1409"/>
        <w:gridCol w:w="709"/>
        <w:gridCol w:w="850"/>
        <w:gridCol w:w="9"/>
        <w:gridCol w:w="1409"/>
        <w:gridCol w:w="9"/>
        <w:gridCol w:w="1408"/>
        <w:gridCol w:w="9"/>
        <w:gridCol w:w="1550"/>
      </w:tblGrid>
      <w:tr w:rsidR="005E3A8F" w:rsidRPr="005E3A8F" w:rsidTr="005E3A8F">
        <w:tc>
          <w:tcPr>
            <w:tcW w:w="567" w:type="dxa"/>
            <w:vMerge w:val="restart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№</w:t>
            </w:r>
          </w:p>
          <w:p w:rsidR="005E3A8F" w:rsidRPr="005E3A8F" w:rsidRDefault="005E3A8F" w:rsidP="005E3A8F">
            <w:pPr>
              <w:ind w:left="-106" w:right="-107" w:hanging="4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Должность</w:t>
            </w:r>
          </w:p>
        </w:tc>
        <w:tc>
          <w:tcPr>
            <w:tcW w:w="4403" w:type="dxa"/>
            <w:gridSpan w:val="5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Объекты недвижимости, находящиеся</w:t>
            </w:r>
          </w:p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gridSpan w:val="2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Транспортные средства</w:t>
            </w:r>
          </w:p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Декларированный годовой доход</w:t>
            </w:r>
            <w:r w:rsidRPr="005E3A8F">
              <w:rPr>
                <w:sz w:val="16"/>
                <w:szCs w:val="16"/>
              </w:rPr>
              <w:br/>
              <w:t>за 2020 год</w:t>
            </w:r>
            <w:r w:rsidRPr="005E3A8F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550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Сведения </w:t>
            </w:r>
          </w:p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5E3A8F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5E3A8F" w:rsidRPr="005E3A8F" w:rsidTr="005E3A8F">
        <w:tc>
          <w:tcPr>
            <w:tcW w:w="567" w:type="dxa"/>
            <w:vMerge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страна располо</w:t>
            </w:r>
            <w:r w:rsidRPr="005E3A8F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gridSpan w:val="2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страна располо</w:t>
            </w:r>
            <w:r w:rsidRPr="005E3A8F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gridSpan w:val="2"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4169CF" w:rsidRPr="005E3A8F" w:rsidTr="005E3A8F">
        <w:trPr>
          <w:trHeight w:val="637"/>
        </w:trPr>
        <w:tc>
          <w:tcPr>
            <w:tcW w:w="567" w:type="dxa"/>
            <w:vMerge w:val="restart"/>
          </w:tcPr>
          <w:p w:rsidR="004169CF" w:rsidRPr="005E3A8F" w:rsidRDefault="004169CF" w:rsidP="004169C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69CF" w:rsidRPr="005E3A8F" w:rsidRDefault="004169CF" w:rsidP="004169C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proofErr w:type="spellStart"/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t>Бахмутская</w:t>
            </w:r>
            <w:proofErr w:type="spellEnd"/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t xml:space="preserve"> Александра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69CF" w:rsidRPr="005E3A8F" w:rsidRDefault="004169CF" w:rsidP="004169C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t xml:space="preserve">Директор </w:t>
            </w:r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br/>
              <w:t>Санкт-Петербургского государственного казенного учреждения «Агентство внешнего транспорта»</w:t>
            </w:r>
          </w:p>
        </w:tc>
        <w:tc>
          <w:tcPr>
            <w:tcW w:w="1417" w:type="dxa"/>
            <w:vMerge w:val="restart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</w:tc>
        <w:tc>
          <w:tcPr>
            <w:tcW w:w="850" w:type="dxa"/>
            <w:vMerge w:val="restart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46</w:t>
            </w:r>
            <w:r w:rsidRPr="005E3A8F"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4169CF" w:rsidRPr="005E3A8F" w:rsidRDefault="00157B94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821579,30</w:t>
            </w:r>
          </w:p>
        </w:tc>
        <w:tc>
          <w:tcPr>
            <w:tcW w:w="1559" w:type="dxa"/>
            <w:gridSpan w:val="2"/>
            <w:vMerge w:val="restart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169CF" w:rsidRPr="005E3A8F" w:rsidTr="0008704D">
        <w:trPr>
          <w:trHeight w:val="637"/>
        </w:trPr>
        <w:tc>
          <w:tcPr>
            <w:tcW w:w="567" w:type="dxa"/>
            <w:vMerge/>
          </w:tcPr>
          <w:p w:rsidR="004169CF" w:rsidRPr="005E3A8F" w:rsidRDefault="004169CF" w:rsidP="004169C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69CF" w:rsidRPr="005E3A8F" w:rsidRDefault="004169CF" w:rsidP="004169C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169CF" w:rsidRPr="005E3A8F" w:rsidRDefault="004169CF" w:rsidP="004169C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4169CF" w:rsidRPr="005E3A8F" w:rsidRDefault="004169C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57B94" w:rsidRPr="005E3A8F" w:rsidTr="00FA2645">
        <w:tc>
          <w:tcPr>
            <w:tcW w:w="567" w:type="dxa"/>
            <w:vMerge/>
          </w:tcPr>
          <w:p w:rsidR="00157B94" w:rsidRPr="005E3A8F" w:rsidRDefault="00157B94" w:rsidP="00157B94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7B94" w:rsidRPr="005E3A8F" w:rsidRDefault="00157B94" w:rsidP="00157B94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7B94" w:rsidRPr="005E3A8F" w:rsidRDefault="00157B94" w:rsidP="00157B94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157B94" w:rsidRPr="00157B94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57B94" w:rsidRPr="005E3A8F" w:rsidTr="00FA2645">
        <w:tc>
          <w:tcPr>
            <w:tcW w:w="567" w:type="dxa"/>
            <w:vMerge/>
          </w:tcPr>
          <w:p w:rsidR="00157B94" w:rsidRPr="005E3A8F" w:rsidRDefault="00157B94" w:rsidP="00157B94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7B94" w:rsidRDefault="00157B94" w:rsidP="00157B94">
            <w:pPr>
              <w:jc w:val="center"/>
            </w:pPr>
            <w:r w:rsidRPr="004515F5"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7B94" w:rsidRPr="005E3A8F" w:rsidRDefault="00157B94" w:rsidP="00157B94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157B94" w:rsidRPr="00157B94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57B94" w:rsidRPr="005E3A8F" w:rsidTr="00FA2645">
        <w:tc>
          <w:tcPr>
            <w:tcW w:w="567" w:type="dxa"/>
            <w:vMerge/>
          </w:tcPr>
          <w:p w:rsidR="00157B94" w:rsidRPr="005E3A8F" w:rsidRDefault="00157B94" w:rsidP="00157B94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7B94" w:rsidRDefault="00157B94" w:rsidP="00157B94">
            <w:pPr>
              <w:jc w:val="center"/>
            </w:pPr>
            <w:r w:rsidRPr="004515F5"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7B94" w:rsidRPr="005E3A8F" w:rsidRDefault="00157B94" w:rsidP="00157B94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157B94" w:rsidRPr="00157B94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57B94" w:rsidRPr="005E3A8F" w:rsidTr="005E3A8F">
        <w:tc>
          <w:tcPr>
            <w:tcW w:w="567" w:type="dxa"/>
            <w:vMerge/>
          </w:tcPr>
          <w:p w:rsidR="00157B94" w:rsidRPr="005E3A8F" w:rsidRDefault="00157B94" w:rsidP="00157B94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57B94" w:rsidRDefault="00157B94" w:rsidP="00157B94">
            <w:pPr>
              <w:jc w:val="center"/>
            </w:pPr>
            <w:r w:rsidRPr="004515F5"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157B94" w:rsidRPr="005E3A8F" w:rsidRDefault="00157B94" w:rsidP="00157B9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E60525" w:rsidRPr="005E3A8F" w:rsidTr="005E3A8F">
        <w:tc>
          <w:tcPr>
            <w:tcW w:w="567" w:type="dxa"/>
            <w:vMerge w:val="restart"/>
          </w:tcPr>
          <w:p w:rsidR="00E60525" w:rsidRPr="005E3A8F" w:rsidRDefault="00E60525" w:rsidP="005E3A8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0525" w:rsidRPr="005E3A8F" w:rsidRDefault="00E60525" w:rsidP="005E3A8F">
            <w:pPr>
              <w:rPr>
                <w:sz w:val="16"/>
                <w:szCs w:val="16"/>
              </w:rPr>
            </w:pPr>
            <w:proofErr w:type="spellStart"/>
            <w:r w:rsidRPr="005E3A8F">
              <w:rPr>
                <w:sz w:val="16"/>
                <w:szCs w:val="16"/>
              </w:rPr>
              <w:t>Мушта</w:t>
            </w:r>
            <w:proofErr w:type="spellEnd"/>
            <w:r w:rsidRPr="005E3A8F">
              <w:rPr>
                <w:sz w:val="16"/>
                <w:szCs w:val="16"/>
              </w:rPr>
              <w:t xml:space="preserve"> Валерий Николаевич</w:t>
            </w:r>
          </w:p>
        </w:tc>
        <w:tc>
          <w:tcPr>
            <w:tcW w:w="1560" w:type="dxa"/>
            <w:vMerge w:val="restart"/>
          </w:tcPr>
          <w:p w:rsidR="00E60525" w:rsidRPr="005E3A8F" w:rsidRDefault="00E60525" w:rsidP="005E3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5E3A8F">
              <w:rPr>
                <w:sz w:val="16"/>
                <w:szCs w:val="16"/>
              </w:rPr>
              <w:t>Санкт-Петербургское государственное казенное учреждение «Дирекция по организации дорожного движения Санкт-Петербурга»</w:t>
            </w:r>
          </w:p>
        </w:tc>
        <w:tc>
          <w:tcPr>
            <w:tcW w:w="1417" w:type="dxa"/>
          </w:tcPr>
          <w:p w:rsidR="00E60525" w:rsidRPr="005E3A8F" w:rsidRDefault="00E60525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0525" w:rsidRPr="005E3A8F" w:rsidRDefault="00E60525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0525" w:rsidRPr="005E3A8F" w:rsidRDefault="00E60525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0525" w:rsidRPr="005E3A8F" w:rsidRDefault="00E60525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60525" w:rsidRPr="005E3A8F" w:rsidRDefault="00E60525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0525" w:rsidRPr="005E3A8F" w:rsidRDefault="00E60525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0525">
              <w:rPr>
                <w:sz w:val="16"/>
                <w:szCs w:val="16"/>
                <w:lang w:val="en-US"/>
              </w:rPr>
              <w:t>46</w:t>
            </w:r>
            <w:r w:rsidRPr="00E60525">
              <w:rPr>
                <w:sz w:val="16"/>
                <w:szCs w:val="16"/>
              </w:rPr>
              <w:t>,3</w:t>
            </w:r>
          </w:p>
        </w:tc>
        <w:tc>
          <w:tcPr>
            <w:tcW w:w="850" w:type="dxa"/>
          </w:tcPr>
          <w:p w:rsidR="00E60525" w:rsidRPr="005E3A8F" w:rsidRDefault="00E60525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E60525" w:rsidRPr="005E3A8F" w:rsidRDefault="00E60525" w:rsidP="005E3A8F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– </w:t>
            </w:r>
            <w:r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Sport</w:t>
            </w:r>
          </w:p>
        </w:tc>
        <w:tc>
          <w:tcPr>
            <w:tcW w:w="1417" w:type="dxa"/>
            <w:gridSpan w:val="2"/>
            <w:vMerge w:val="restart"/>
          </w:tcPr>
          <w:p w:rsidR="00E60525" w:rsidRPr="005E3A8F" w:rsidRDefault="00E60525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D11FA">
              <w:rPr>
                <w:sz w:val="16"/>
                <w:szCs w:val="16"/>
              </w:rPr>
              <w:t>2308573,43</w:t>
            </w:r>
          </w:p>
        </w:tc>
        <w:tc>
          <w:tcPr>
            <w:tcW w:w="1559" w:type="dxa"/>
            <w:gridSpan w:val="2"/>
            <w:vMerge w:val="restart"/>
          </w:tcPr>
          <w:p w:rsidR="00E60525" w:rsidRPr="005E3A8F" w:rsidRDefault="00E60525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E60525" w:rsidRPr="005E3A8F" w:rsidTr="005E3A8F">
        <w:tc>
          <w:tcPr>
            <w:tcW w:w="567" w:type="dxa"/>
            <w:vMerge/>
          </w:tcPr>
          <w:p w:rsidR="00E60525" w:rsidRPr="005E3A8F" w:rsidRDefault="00E60525" w:rsidP="00E6052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0525" w:rsidRPr="005E3A8F" w:rsidRDefault="00E60525" w:rsidP="00E6052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0525" w:rsidRPr="005E3A8F" w:rsidRDefault="00E60525" w:rsidP="00E60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0525" w:rsidRPr="005E3A8F" w:rsidRDefault="00E60525" w:rsidP="00E6052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418" w:type="dxa"/>
          </w:tcPr>
          <w:p w:rsidR="00E60525" w:rsidRPr="005E3A8F" w:rsidRDefault="00E60525" w:rsidP="00E60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0525" w:rsidRPr="005E3A8F" w:rsidRDefault="00E60525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0525" w:rsidRPr="005E3A8F" w:rsidRDefault="00E60525" w:rsidP="00E60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60525" w:rsidRPr="005E3A8F" w:rsidRDefault="00E60525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0525" w:rsidRPr="005E3A8F" w:rsidRDefault="00E60525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0525">
              <w:rPr>
                <w:sz w:val="16"/>
                <w:szCs w:val="16"/>
              </w:rPr>
              <w:t>101,9</w:t>
            </w:r>
          </w:p>
        </w:tc>
        <w:tc>
          <w:tcPr>
            <w:tcW w:w="850" w:type="dxa"/>
          </w:tcPr>
          <w:p w:rsidR="00E60525" w:rsidRPr="005E3A8F" w:rsidRDefault="00E60525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E60525" w:rsidRPr="005E3A8F" w:rsidRDefault="00E60525" w:rsidP="00E6052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60525" w:rsidRPr="005E3A8F" w:rsidRDefault="00E60525" w:rsidP="00E6052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E60525" w:rsidRPr="005E3A8F" w:rsidRDefault="00E60525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06706" w:rsidRPr="005E3A8F" w:rsidTr="005E3A8F">
        <w:tc>
          <w:tcPr>
            <w:tcW w:w="567" w:type="dxa"/>
            <w:vMerge/>
          </w:tcPr>
          <w:p w:rsidR="00506706" w:rsidRPr="005E3A8F" w:rsidRDefault="00506706" w:rsidP="005E3A8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06706" w:rsidRPr="005E3A8F" w:rsidRDefault="00506706" w:rsidP="005E3A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06706" w:rsidRPr="005E3A8F" w:rsidRDefault="00506706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6706" w:rsidRPr="005E3A8F" w:rsidRDefault="00506706" w:rsidP="005E3A8F">
            <w:pPr>
              <w:jc w:val="center"/>
              <w:rPr>
                <w:sz w:val="16"/>
                <w:szCs w:val="24"/>
              </w:rPr>
            </w:pPr>
            <w:r w:rsidRPr="00E60525">
              <w:rPr>
                <w:sz w:val="16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06706" w:rsidRPr="005E3A8F" w:rsidRDefault="00506706" w:rsidP="005E3A8F">
            <w:pPr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06706" w:rsidRPr="005E3A8F" w:rsidRDefault="00506706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0525">
              <w:rPr>
                <w:sz w:val="16"/>
                <w:szCs w:val="16"/>
              </w:rPr>
              <w:t>1040,0</w:t>
            </w:r>
          </w:p>
        </w:tc>
        <w:tc>
          <w:tcPr>
            <w:tcW w:w="850" w:type="dxa"/>
          </w:tcPr>
          <w:p w:rsidR="00506706" w:rsidRPr="005E3A8F" w:rsidRDefault="00506706" w:rsidP="005E3A8F">
            <w:pPr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06706" w:rsidRPr="005E3A8F" w:rsidRDefault="00506706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06706" w:rsidRPr="005E3A8F" w:rsidRDefault="00506706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06706" w:rsidRPr="005E3A8F" w:rsidRDefault="00506706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5E3A8F">
              <w:rPr>
                <w:sz w:val="16"/>
                <w:szCs w:val="16"/>
              </w:rPr>
              <w:t xml:space="preserve">автомобиль – </w:t>
            </w:r>
            <w:r w:rsidRPr="00E60525">
              <w:rPr>
                <w:sz w:val="16"/>
                <w:szCs w:val="16"/>
              </w:rPr>
              <w:t xml:space="preserve">Ниссан </w:t>
            </w:r>
            <w:r w:rsidRPr="00E60525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gridSpan w:val="2"/>
            <w:vMerge w:val="restart"/>
          </w:tcPr>
          <w:p w:rsidR="00506706" w:rsidRPr="005E3A8F" w:rsidRDefault="00506706" w:rsidP="005E3A8F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  <w:r w:rsidRPr="00E60525">
              <w:rPr>
                <w:sz w:val="16"/>
                <w:szCs w:val="16"/>
              </w:rPr>
              <w:t>151901,52</w:t>
            </w:r>
          </w:p>
        </w:tc>
        <w:tc>
          <w:tcPr>
            <w:tcW w:w="1559" w:type="dxa"/>
            <w:gridSpan w:val="2"/>
            <w:vMerge w:val="restart"/>
          </w:tcPr>
          <w:p w:rsidR="00506706" w:rsidRPr="005E3A8F" w:rsidRDefault="00506706" w:rsidP="005E3A8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06706" w:rsidRPr="005E3A8F" w:rsidTr="005E3A8F">
        <w:tc>
          <w:tcPr>
            <w:tcW w:w="567" w:type="dxa"/>
            <w:vMerge/>
          </w:tcPr>
          <w:p w:rsidR="00506706" w:rsidRPr="005E3A8F" w:rsidRDefault="00506706" w:rsidP="00E6052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706" w:rsidRPr="005E3A8F" w:rsidRDefault="00506706" w:rsidP="00E6052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общая долевая собственность (доля в праве </w:t>
            </w:r>
            <w:r w:rsidRPr="00F9682C">
              <w:rPr>
                <w:sz w:val="16"/>
                <w:szCs w:val="16"/>
              </w:rPr>
              <w:t>9</w:t>
            </w:r>
            <w:r w:rsidRPr="005E3A8F">
              <w:rPr>
                <w:sz w:val="16"/>
                <w:szCs w:val="16"/>
              </w:rPr>
              <w:t>/</w:t>
            </w:r>
            <w:r w:rsidR="00F9682C" w:rsidRPr="00F9682C">
              <w:rPr>
                <w:sz w:val="16"/>
                <w:szCs w:val="16"/>
              </w:rPr>
              <w:t>19</w:t>
            </w:r>
            <w:r w:rsidRPr="00F9682C">
              <w:rPr>
                <w:sz w:val="16"/>
                <w:szCs w:val="16"/>
              </w:rPr>
              <w:t>0</w:t>
            </w:r>
            <w:r w:rsidRPr="005E3A8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9682C">
              <w:rPr>
                <w:sz w:val="16"/>
                <w:szCs w:val="16"/>
              </w:rPr>
              <w:t>272,4</w:t>
            </w:r>
          </w:p>
        </w:tc>
        <w:tc>
          <w:tcPr>
            <w:tcW w:w="850" w:type="dxa"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06706" w:rsidRPr="005E3A8F" w:rsidRDefault="00506706" w:rsidP="00E60525">
            <w:pPr>
              <w:jc w:val="center"/>
              <w:rPr>
                <w:color w:val="FF0000"/>
                <w:sz w:val="16"/>
                <w:szCs w:val="24"/>
              </w:rPr>
            </w:pPr>
          </w:p>
        </w:tc>
        <w:tc>
          <w:tcPr>
            <w:tcW w:w="709" w:type="dxa"/>
            <w:vMerge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06706" w:rsidRPr="005E3A8F" w:rsidRDefault="00506706" w:rsidP="00E605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06706" w:rsidRPr="005E3A8F" w:rsidTr="005E3A8F">
        <w:tc>
          <w:tcPr>
            <w:tcW w:w="567" w:type="dxa"/>
            <w:vMerge/>
          </w:tcPr>
          <w:p w:rsidR="00506706" w:rsidRPr="005E3A8F" w:rsidRDefault="00506706" w:rsidP="00E6052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706" w:rsidRPr="005E3A8F" w:rsidRDefault="00506706" w:rsidP="00E6052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общая долевая собственность </w:t>
            </w:r>
            <w:r w:rsidRPr="005E3A8F">
              <w:rPr>
                <w:sz w:val="16"/>
                <w:szCs w:val="16"/>
              </w:rPr>
              <w:lastRenderedPageBreak/>
              <w:t xml:space="preserve">(доля в праве </w:t>
            </w:r>
            <w:r w:rsidRPr="00F9682C">
              <w:rPr>
                <w:sz w:val="16"/>
                <w:szCs w:val="16"/>
              </w:rPr>
              <w:t>1</w:t>
            </w:r>
            <w:r w:rsidRPr="005E3A8F">
              <w:rPr>
                <w:sz w:val="16"/>
                <w:szCs w:val="16"/>
              </w:rPr>
              <w:t>/</w:t>
            </w:r>
            <w:r w:rsidRPr="00F9682C">
              <w:rPr>
                <w:sz w:val="16"/>
                <w:szCs w:val="16"/>
              </w:rPr>
              <w:t>2</w:t>
            </w:r>
            <w:r w:rsidRPr="005E3A8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06706" w:rsidRPr="005E3A8F" w:rsidRDefault="00F9682C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46,3</w:t>
            </w:r>
          </w:p>
        </w:tc>
        <w:tc>
          <w:tcPr>
            <w:tcW w:w="850" w:type="dxa"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06706" w:rsidRPr="005E3A8F" w:rsidRDefault="00506706" w:rsidP="00E60525">
            <w:pPr>
              <w:jc w:val="center"/>
              <w:rPr>
                <w:color w:val="FF0000"/>
                <w:sz w:val="16"/>
                <w:szCs w:val="24"/>
              </w:rPr>
            </w:pPr>
          </w:p>
        </w:tc>
        <w:tc>
          <w:tcPr>
            <w:tcW w:w="709" w:type="dxa"/>
            <w:vMerge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06706" w:rsidRPr="005E3A8F" w:rsidRDefault="00506706" w:rsidP="00E605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06706" w:rsidRPr="005E3A8F" w:rsidRDefault="00506706" w:rsidP="00E6052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43386" w:rsidRPr="005E3A8F" w:rsidTr="005E3A8F">
        <w:tc>
          <w:tcPr>
            <w:tcW w:w="567" w:type="dxa"/>
            <w:vMerge w:val="restart"/>
          </w:tcPr>
          <w:p w:rsidR="00A43386" w:rsidRPr="005E3A8F" w:rsidRDefault="00A43386" w:rsidP="00A43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843" w:type="dxa"/>
            <w:vMerge w:val="restart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585C5D">
              <w:rPr>
                <w:sz w:val="16"/>
                <w:szCs w:val="16"/>
              </w:rPr>
              <w:t>Тертерян</w:t>
            </w:r>
            <w:proofErr w:type="spellEnd"/>
            <w:r w:rsidRPr="00585C5D">
              <w:rPr>
                <w:sz w:val="16"/>
                <w:szCs w:val="16"/>
              </w:rPr>
              <w:t xml:space="preserve"> Рубен </w:t>
            </w:r>
            <w:proofErr w:type="spellStart"/>
            <w:r w:rsidRPr="00585C5D">
              <w:rPr>
                <w:sz w:val="16"/>
                <w:szCs w:val="16"/>
              </w:rPr>
              <w:t>Андраникович</w:t>
            </w:r>
            <w:proofErr w:type="spellEnd"/>
          </w:p>
        </w:tc>
        <w:tc>
          <w:tcPr>
            <w:tcW w:w="1560" w:type="dxa"/>
            <w:vMerge w:val="restart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Генеральный директор </w:t>
            </w:r>
            <w:r w:rsidRPr="00585C5D">
              <w:rPr>
                <w:sz w:val="16"/>
                <w:szCs w:val="16"/>
              </w:rPr>
              <w:t>Санкт-Петербургское государственное бюджетное учреждение «Центр транспортного планирования Санкт-Петербурга»</w:t>
            </w:r>
          </w:p>
        </w:tc>
        <w:tc>
          <w:tcPr>
            <w:tcW w:w="1417" w:type="dxa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3386">
              <w:rPr>
                <w:sz w:val="16"/>
                <w:szCs w:val="16"/>
              </w:rPr>
              <w:t>общая долевая собственность (доля в праве 3/4)</w:t>
            </w:r>
          </w:p>
        </w:tc>
        <w:tc>
          <w:tcPr>
            <w:tcW w:w="709" w:type="dxa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755,0</w:t>
            </w:r>
          </w:p>
        </w:tc>
        <w:tc>
          <w:tcPr>
            <w:tcW w:w="850" w:type="dxa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43386" w:rsidRPr="005E3A8F" w:rsidRDefault="00402C91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3014010,49</w:t>
            </w:r>
          </w:p>
        </w:tc>
        <w:tc>
          <w:tcPr>
            <w:tcW w:w="1559" w:type="dxa"/>
            <w:gridSpan w:val="2"/>
            <w:vMerge w:val="restart"/>
          </w:tcPr>
          <w:p w:rsidR="00A43386" w:rsidRPr="005E3A8F" w:rsidRDefault="00A43386" w:rsidP="00A43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Pr="005E3A8F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общая долев</w:t>
            </w:r>
            <w:r w:rsidRPr="0021447C">
              <w:rPr>
                <w:sz w:val="16"/>
                <w:szCs w:val="16"/>
              </w:rPr>
              <w:t>ая собственность (доля в праве 3</w:t>
            </w:r>
            <w:r w:rsidRPr="005E3A8F">
              <w:rPr>
                <w:sz w:val="16"/>
                <w:szCs w:val="16"/>
              </w:rPr>
              <w:t>/4)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174,4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755,0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Pr="005E3A8F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85C5D" w:rsidRPr="0021447C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174,4</w:t>
            </w:r>
          </w:p>
        </w:tc>
        <w:tc>
          <w:tcPr>
            <w:tcW w:w="850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Pr="005E3A8F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общая долевая</w:t>
            </w:r>
            <w:r w:rsidRPr="0021447C">
              <w:rPr>
                <w:sz w:val="16"/>
                <w:szCs w:val="16"/>
              </w:rPr>
              <w:t xml:space="preserve"> собственность (доля в праве 1/2</w:t>
            </w:r>
            <w:r w:rsidRPr="005E3A8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Pr="005E3A8F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Pr="0021447C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Pr="005E3A8F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общая долевая собственность (доля в праве 1/80)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2216,3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5C5D" w:rsidRPr="005E3A8F" w:rsidRDefault="00585C5D" w:rsidP="008870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общая долевая</w:t>
            </w:r>
            <w:r w:rsidRPr="0021447C">
              <w:rPr>
                <w:sz w:val="16"/>
                <w:szCs w:val="16"/>
              </w:rPr>
              <w:t xml:space="preserve"> собственность (доля в праве 1/2</w:t>
            </w:r>
            <w:r w:rsidRPr="005E3A8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5620550,77</w:t>
            </w:r>
          </w:p>
        </w:tc>
        <w:tc>
          <w:tcPr>
            <w:tcW w:w="1559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061B99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06706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85C5D" w:rsidRPr="00061B99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06706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Pr="0021447C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85C5D" w:rsidRPr="00061B99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06706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общая долевая собственность (доля в праве 1/80)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2216,3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85C5D" w:rsidRPr="00061B99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06706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5C5D" w:rsidRPr="005E3A8F" w:rsidRDefault="00585C5D" w:rsidP="008870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 (доля в праве 1/3</w:t>
            </w:r>
            <w:r w:rsidRPr="0050670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85C5D" w:rsidRPr="00061B99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61B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общая </w:t>
            </w:r>
            <w:r w:rsidRPr="0087059D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собственность (доля в праве 5</w:t>
            </w:r>
            <w:r w:rsidRPr="0087059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12</w:t>
            </w:r>
            <w:r w:rsidRPr="0087059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061B99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061B99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061B99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C5D" w:rsidRPr="00506706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061B99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5C5D" w:rsidRPr="005E3A8F" w:rsidRDefault="00585C5D" w:rsidP="008870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5C5D" w:rsidRPr="005E3A8F" w:rsidRDefault="00585C5D" w:rsidP="008870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5C5D" w:rsidRPr="005E3A8F" w:rsidRDefault="00585C5D" w:rsidP="008870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8870F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8870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8870F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585C5D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585C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5C5D" w:rsidRPr="005E3A8F" w:rsidTr="005E3A8F">
        <w:tc>
          <w:tcPr>
            <w:tcW w:w="567" w:type="dxa"/>
            <w:vMerge/>
          </w:tcPr>
          <w:p w:rsidR="00585C5D" w:rsidRPr="005E3A8F" w:rsidRDefault="00585C5D" w:rsidP="00585C5D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C5D" w:rsidRDefault="00585C5D" w:rsidP="00585C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C5D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850" w:type="dxa"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85C5D" w:rsidRPr="005E3A8F" w:rsidRDefault="00585C5D" w:rsidP="00585C5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A453E5" w:rsidRDefault="00A453E5"/>
    <w:sectPr w:rsidR="00A453E5" w:rsidSect="005E3A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8F"/>
    <w:rsid w:val="00061B99"/>
    <w:rsid w:val="00157B94"/>
    <w:rsid w:val="0021447C"/>
    <w:rsid w:val="002D11FA"/>
    <w:rsid w:val="002D5B0F"/>
    <w:rsid w:val="00402C91"/>
    <w:rsid w:val="004169CF"/>
    <w:rsid w:val="00506706"/>
    <w:rsid w:val="00585C5D"/>
    <w:rsid w:val="005E3A8F"/>
    <w:rsid w:val="0087059D"/>
    <w:rsid w:val="008870F8"/>
    <w:rsid w:val="0097340E"/>
    <w:rsid w:val="00A43386"/>
    <w:rsid w:val="00A453E5"/>
    <w:rsid w:val="00E60525"/>
    <w:rsid w:val="00F9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CD61"/>
  <w15:chartTrackingRefBased/>
  <w15:docId w15:val="{07567BFE-D8B0-47B6-822C-015108EC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5E3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Виктория Валериевна</dc:creator>
  <cp:keywords/>
  <dc:description/>
  <cp:lastModifiedBy>Мартыненко Виктория Валериевна</cp:lastModifiedBy>
  <cp:revision>4</cp:revision>
  <dcterms:created xsi:type="dcterms:W3CDTF">2021-05-11T06:04:00Z</dcterms:created>
  <dcterms:modified xsi:type="dcterms:W3CDTF">2021-05-21T08:20:00Z</dcterms:modified>
</cp:coreProperties>
</file>