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FE" w:rsidRDefault="00B949FE" w:rsidP="00B949F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Cведения об имуществе и доходах Губернатора Тюменской области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93"/>
        <w:gridCol w:w="1122"/>
        <w:gridCol w:w="1046"/>
        <w:gridCol w:w="1499"/>
        <w:gridCol w:w="806"/>
        <w:gridCol w:w="1311"/>
        <w:gridCol w:w="1046"/>
        <w:gridCol w:w="806"/>
        <w:gridCol w:w="1311"/>
        <w:gridCol w:w="1326"/>
        <w:gridCol w:w="1672"/>
        <w:gridCol w:w="1481"/>
      </w:tblGrid>
      <w:tr w:rsidR="00B949FE" w:rsidTr="00B949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Декларированный годовой доход &lt;1&gt;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</w:tr>
      <w:tr w:rsidR="00B949FE" w:rsidTr="00B949F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Моор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Губернатор 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1756,0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снегоход YAMAHA VK54OE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14 488 325,09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PORSCHE CAYENNE 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lastRenderedPageBreak/>
              <w:t>  2 926 208,46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общая долевая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1660,6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72, 9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1272,0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6 300,0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</w:tr>
      <w:tr w:rsidR="00B949FE" w:rsidTr="00B94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72, 9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1272,0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485,9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B949FE" w:rsidRDefault="00B949FE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9FE" w:rsidRDefault="00B949FE">
            <w:pPr>
              <w:rPr>
                <w:sz w:val="20"/>
                <w:szCs w:val="20"/>
              </w:rPr>
            </w:pPr>
          </w:p>
        </w:tc>
      </w:tr>
    </w:tbl>
    <w:p w:rsidR="00B949FE" w:rsidRDefault="00B949FE" w:rsidP="00B949FE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949FE" w:rsidRDefault="00B949FE" w:rsidP="00B949FE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949FE" w:rsidRDefault="00B949FE" w:rsidP="00B949FE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Создано: 14.05.2021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14.05.2021</w:t>
      </w:r>
      <w:r>
        <w:rPr>
          <w:rFonts w:ascii="Segoe UI" w:hAnsi="Segoe UI" w:cs="Segoe UI"/>
          <w:color w:val="A8B3BE"/>
          <w:sz w:val="21"/>
          <w:szCs w:val="21"/>
        </w:rPr>
        <w:br/>
        <w:t>Источник: Департамент по общественным связям, коммуникациям и молодежной политике Тюменской области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049A"/>
    <w:multiLevelType w:val="multilevel"/>
    <w:tmpl w:val="5AF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9F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99810-2ECB-4D7A-B34B-E54A286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9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5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523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1948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0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2021-05-15T13:35:00Z</dcterms:modified>
</cp:coreProperties>
</file>