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78" w:rsidRPr="006D60EF" w:rsidRDefault="00C67C78" w:rsidP="00C67C78">
      <w:pPr>
        <w:shd w:val="clear" w:color="auto" w:fill="FFFFFF"/>
        <w:spacing w:after="0" w:line="240" w:lineRule="auto"/>
        <w:ind w:right="395"/>
        <w:jc w:val="center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Сведения</w:t>
      </w:r>
    </w:p>
    <w:p w:rsidR="007D5C4D" w:rsidRDefault="00C67C78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A9092"/>
          <w:sz w:val="28"/>
          <w:szCs w:val="28"/>
          <w:lang w:eastAsia="ru-RU"/>
        </w:rPr>
      </w:pPr>
      <w:proofErr w:type="gramStart"/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о</w:t>
      </w:r>
      <w:proofErr w:type="gramEnd"/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доходах,</w:t>
      </w:r>
      <w:r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расходах,</w:t>
      </w:r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об имуществе и обязательствах имущественного характера</w:t>
      </w:r>
      <w:r w:rsidR="007D5C4D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лиц, </w:t>
      </w:r>
    </w:p>
    <w:p w:rsidR="00C67C78" w:rsidRDefault="007D5C4D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A9092"/>
          <w:sz w:val="28"/>
          <w:szCs w:val="28"/>
          <w:lang w:eastAsia="ru-RU"/>
        </w:rPr>
      </w:pPr>
      <w:proofErr w:type="gramStart"/>
      <w:r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замещающих</w:t>
      </w:r>
      <w:proofErr w:type="gramEnd"/>
      <w:r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должности</w:t>
      </w:r>
      <w:r w:rsidR="00C67C78"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</w:t>
      </w:r>
      <w:r w:rsidR="00C67C78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руководителей муниципальных бюджетных учреждений </w:t>
      </w:r>
    </w:p>
    <w:p w:rsidR="00C67C78" w:rsidRPr="006D60EF" w:rsidRDefault="00C67C78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Болотнинского района Новосибирской обла</w:t>
      </w:r>
      <w:r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сти</w:t>
      </w:r>
    </w:p>
    <w:p w:rsidR="0093266B" w:rsidRPr="00B71124" w:rsidRDefault="00B71124" w:rsidP="00B71124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proofErr w:type="gramStart"/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за</w:t>
      </w:r>
      <w:proofErr w:type="gramEnd"/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перио</w:t>
      </w:r>
      <w:r w:rsidR="00D13F6C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д с 01 января по 31 декабря 201</w:t>
      </w:r>
      <w:r w:rsidR="008C1B34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>9</w:t>
      </w:r>
      <w:r w:rsidRPr="006D60EF">
        <w:rPr>
          <w:rFonts w:ascii="Tahoma" w:eastAsia="Times New Roman" w:hAnsi="Tahoma" w:cs="Tahoma"/>
          <w:color w:val="8A9092"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tblpX="-859" w:tblpY="1"/>
        <w:tblOverlap w:val="never"/>
        <w:tblW w:w="1629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374"/>
        <w:gridCol w:w="1134"/>
        <w:gridCol w:w="2410"/>
        <w:gridCol w:w="850"/>
        <w:gridCol w:w="1276"/>
        <w:gridCol w:w="1874"/>
        <w:gridCol w:w="2319"/>
        <w:gridCol w:w="776"/>
        <w:gridCol w:w="845"/>
        <w:gridCol w:w="1418"/>
      </w:tblGrid>
      <w:tr w:rsidR="009760B2" w:rsidRPr="007473B6" w:rsidTr="007C70FC">
        <w:trPr>
          <w:tblCellSpacing w:w="15" w:type="dxa"/>
        </w:trPr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ФИО лица, замещающего должность руководителя муниципального бюджетного учреждения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Декларированный годовой доход за 201</w:t>
            </w:r>
            <w:r w:rsidR="008C1B34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9</w:t>
            </w:r>
            <w:bookmarkStart w:id="0" w:name="_GoBack"/>
            <w:bookmarkEnd w:id="0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год (руб.)</w:t>
            </w:r>
          </w:p>
        </w:tc>
        <w:tc>
          <w:tcPr>
            <w:tcW w:w="6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</w:t>
            </w:r>
            <w:r w:rsidR="00135A9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, источники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)</w:t>
            </w:r>
          </w:p>
        </w:tc>
      </w:tr>
      <w:tr w:rsidR="009760B2" w:rsidRPr="007473B6" w:rsidTr="007C70FC">
        <w:trPr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4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объекты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недвижимого имущества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транспортные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средства (вид, марка)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вид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объектов недвижимого имущества</w:t>
            </w:r>
          </w:p>
        </w:tc>
        <w:tc>
          <w:tcPr>
            <w:tcW w:w="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площадь</w:t>
            </w:r>
            <w:proofErr w:type="gramEnd"/>
          </w:p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(</w:t>
            </w: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кв.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м)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9760B2" w:rsidRPr="007473B6" w:rsidTr="007C70FC">
        <w:trPr>
          <w:trHeight w:val="1421"/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вид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объектов недвижимого имущества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площадь</w:t>
            </w:r>
            <w:proofErr w:type="gramEnd"/>
          </w:p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(</w:t>
            </w: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кв.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страна</w:t>
            </w:r>
            <w:proofErr w:type="gramEnd"/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расположения</w:t>
            </w: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0B2" w:rsidRPr="007473B6" w:rsidRDefault="009760B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EF62F2" w:rsidRPr="007473B6" w:rsidTr="007C70FC">
        <w:trPr>
          <w:trHeight w:val="890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 w:rsidRPr="007473B6"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Захаров</w:t>
            </w:r>
          </w:p>
          <w:p w:rsidR="00D25864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 w:rsidRPr="007473B6"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Валерий</w:t>
            </w: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 w:rsidRPr="007473B6"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Николаевич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 w:rsidRPr="007473B6"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Директор МБУ «КЦСОН Болотнинского района НСО»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7C70FC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1 304 371,56</w:t>
            </w:r>
          </w:p>
          <w:p w:rsidR="007C70FC" w:rsidRDefault="007C70FC" w:rsidP="007C70FC">
            <w:pPr>
              <w:spacing w:after="0" w:line="240" w:lineRule="auto"/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D5C4D"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>из</w:t>
            </w:r>
            <w:proofErr w:type="gramEnd"/>
            <w:r w:rsidRPr="007D5C4D"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 xml:space="preserve"> них по основному месту работы</w:t>
            </w:r>
          </w:p>
          <w:p w:rsidR="007C70FC" w:rsidRPr="007473B6" w:rsidRDefault="007C70FC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>900 923,56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Легковой автомобиль</w:t>
            </w:r>
            <w:r w:rsidR="000A391D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:</w:t>
            </w:r>
          </w:p>
          <w:p w:rsidR="00EF62F2" w:rsidRPr="00E43D77" w:rsidRDefault="007C70FC" w:rsidP="007C7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81" w:hanging="284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Land Cruiser Prado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EF62F2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3506,0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EF62F2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EF62F2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1594,0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Pr="007473B6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 – 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–</w:t>
            </w: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супруга</w:t>
            </w:r>
            <w:proofErr w:type="gram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C70FC" w:rsidRDefault="007C70FC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343 340.47</w:t>
            </w:r>
          </w:p>
          <w:p w:rsidR="000A391D" w:rsidRPr="007D5C4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7D5C4D"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>из</w:t>
            </w:r>
            <w:proofErr w:type="gramEnd"/>
            <w:r w:rsidRPr="007D5C4D"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 xml:space="preserve"> них по основному месту работы </w:t>
            </w:r>
            <w:r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>176 629,80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 – 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–</w:t>
            </w: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7473B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EF62F2" w:rsidRPr="007473B6" w:rsidTr="007C70FC">
        <w:trPr>
          <w:trHeight w:val="1686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Кравченко</w:t>
            </w:r>
          </w:p>
          <w:p w:rsidR="00D25864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Максим</w:t>
            </w: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Олегович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Директор МБУ</w:t>
            </w: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  <w:t>«Единая диспетчерская служба» Болотнинского района Новосибирской области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D25864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523 864,03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Pr="007473B6" w:rsidRDefault="00EF62F2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Легковой автомобиль:</w:t>
            </w:r>
          </w:p>
          <w:p w:rsidR="00EF62F2" w:rsidRDefault="000A391D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1)</w:t>
            </w:r>
            <w:r w:rsidR="00EF62F2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Тойота</w:t>
            </w:r>
            <w:proofErr w:type="gramEnd"/>
            <w:r w:rsidR="00EF62F2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EF62F2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Королла</w:t>
            </w:r>
            <w:proofErr w:type="spellEnd"/>
            <w:r w:rsidR="00EF62F2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;</w:t>
            </w:r>
          </w:p>
          <w:p w:rsidR="00EF62F2" w:rsidRDefault="000A391D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2)</w:t>
            </w:r>
            <w:r w:rsidR="00EF62F2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Мазда 3.</w:t>
            </w:r>
          </w:p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  <w:p w:rsidR="00EF62F2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2F2" w:rsidRPr="007473B6" w:rsidRDefault="00EF62F2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0A391D" w:rsidRPr="007473B6" w:rsidTr="007C70FC">
        <w:trPr>
          <w:trHeight w:val="54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jc w:val="center"/>
              <w:rPr>
                <w:rFonts w:ascii="Tahoma" w:hAnsi="Tahoma" w:cs="Tahoma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участок- для обслуживания жилой застройки –индивидуальная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супруга</w:t>
            </w:r>
            <w:proofErr w:type="gram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D25864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133 916,71</w:t>
            </w:r>
            <w:r w:rsidR="000A391D">
              <w:rPr>
                <w:rFonts w:ascii="Tahoma" w:eastAsia="Times New Roman" w:hAnsi="Tahoma" w:cs="Tahoma"/>
                <w:i/>
                <w:color w:val="8A9092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0A391D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91D" w:rsidRPr="007473B6" w:rsidRDefault="000A391D" w:rsidP="007C70F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Pr="007473B6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91D" w:rsidRDefault="000A391D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EF62F2" w:rsidRPr="007473B6" w:rsidTr="007C70F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дочь</w:t>
            </w:r>
            <w:proofErr w:type="gram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2F2" w:rsidRDefault="00EF62F2" w:rsidP="007C70FC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  <w:proofErr w:type="gramEnd"/>
          </w:p>
        </w:tc>
      </w:tr>
    </w:tbl>
    <w:p w:rsidR="00542262" w:rsidRPr="007473B6" w:rsidRDefault="007C70FC">
      <w:pPr>
        <w:rPr>
          <w:sz w:val="17"/>
          <w:szCs w:val="17"/>
        </w:rPr>
      </w:pPr>
      <w:r>
        <w:rPr>
          <w:sz w:val="17"/>
          <w:szCs w:val="17"/>
        </w:rPr>
        <w:lastRenderedPageBreak/>
        <w:br w:type="textWrapping" w:clear="all"/>
      </w:r>
    </w:p>
    <w:sectPr w:rsidR="00542262" w:rsidRPr="007473B6" w:rsidSect="00932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F0650"/>
    <w:multiLevelType w:val="hybridMultilevel"/>
    <w:tmpl w:val="02A2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6B"/>
    <w:rsid w:val="00013C01"/>
    <w:rsid w:val="000A391D"/>
    <w:rsid w:val="000E549F"/>
    <w:rsid w:val="00135A9F"/>
    <w:rsid w:val="00166DD8"/>
    <w:rsid w:val="001956F7"/>
    <w:rsid w:val="002402EE"/>
    <w:rsid w:val="002C4CFA"/>
    <w:rsid w:val="00351E96"/>
    <w:rsid w:val="004449D7"/>
    <w:rsid w:val="00542262"/>
    <w:rsid w:val="00546FB3"/>
    <w:rsid w:val="005D3252"/>
    <w:rsid w:val="005D4F4E"/>
    <w:rsid w:val="005F71FB"/>
    <w:rsid w:val="007179F0"/>
    <w:rsid w:val="007473B6"/>
    <w:rsid w:val="007A6734"/>
    <w:rsid w:val="007C70FC"/>
    <w:rsid w:val="007D5C4D"/>
    <w:rsid w:val="008223E7"/>
    <w:rsid w:val="00830771"/>
    <w:rsid w:val="008C1B34"/>
    <w:rsid w:val="00912059"/>
    <w:rsid w:val="009230CD"/>
    <w:rsid w:val="0093266B"/>
    <w:rsid w:val="009760B2"/>
    <w:rsid w:val="009D7FD0"/>
    <w:rsid w:val="00A914BD"/>
    <w:rsid w:val="00AB480A"/>
    <w:rsid w:val="00B34570"/>
    <w:rsid w:val="00B71124"/>
    <w:rsid w:val="00C651ED"/>
    <w:rsid w:val="00C67C78"/>
    <w:rsid w:val="00CD2A7A"/>
    <w:rsid w:val="00CE6C4C"/>
    <w:rsid w:val="00D13F6C"/>
    <w:rsid w:val="00D25864"/>
    <w:rsid w:val="00E43D77"/>
    <w:rsid w:val="00EA4F5F"/>
    <w:rsid w:val="00EB79E2"/>
    <w:rsid w:val="00E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7424E-459C-481D-9E56-4EA260F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Храмченкова</dc:creator>
  <cp:keywords/>
  <dc:description/>
  <cp:lastModifiedBy>Сусленкова Ольга Леонидовна</cp:lastModifiedBy>
  <cp:revision>4</cp:revision>
  <cp:lastPrinted>2018-05-16T03:30:00Z</cp:lastPrinted>
  <dcterms:created xsi:type="dcterms:W3CDTF">2020-08-13T08:35:00Z</dcterms:created>
  <dcterms:modified xsi:type="dcterms:W3CDTF">2020-08-18T06:51:00Z</dcterms:modified>
</cp:coreProperties>
</file>