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>Сведения</w:t>
      </w:r>
      <w:r>
        <w:rPr>
          <w:rStyle w:val="Style14"/>
          <w:rFonts w:ascii="Book Antiqua" w:hAnsi="Book Antiqua"/>
          <w:szCs w:val="28"/>
        </w:rPr>
        <w:t xml:space="preserve"> Главы муниципального округа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характера, замещающего муниципальную должность, супруга и несовершеннолетних детей для размещения в информационно¬-телекоммуникационной сети Интернет за отчетный период</w:t>
      </w:r>
      <w:r>
        <w:rPr>
          <w:rStyle w:val="Style14"/>
          <w:rFonts w:ascii="Book Antiqua" w:hAnsi="Book Antiqua"/>
          <w:szCs w:val="28"/>
        </w:rPr>
        <w:t xml:space="preserve"> с 01 января 2019 года по 31 декабря 2019 года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4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01"/>
        <w:gridCol w:w="1417"/>
        <w:gridCol w:w="1418"/>
        <w:gridCol w:w="1558"/>
        <w:gridCol w:w="990"/>
        <w:gridCol w:w="853"/>
        <w:gridCol w:w="1136"/>
        <w:gridCol w:w="992"/>
        <w:gridCol w:w="989"/>
        <w:gridCol w:w="1"/>
        <w:gridCol w:w="1416"/>
        <w:gridCol w:w="1"/>
        <w:gridCol w:w="1417"/>
        <w:gridCol w:w="2"/>
        <w:gridCol w:w="1560"/>
      </w:tblGrid>
      <w:tr>
        <w:trPr>
          <w:trHeight w:val="339" w:hRule="atLeast"/>
          <w:cantSplit w:val="true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23" w:hRule="atLeast"/>
          <w:cantSplit w:val="true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Глава МА Качинского МО, исполняющий полномочия председателя Совета Качинского МО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рапид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Calibri" w:cs="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1 302 052,55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Гостевой номер №14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51,5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LibreOffice/7.0.3.1$Linux_X86_64 LibreOffice_project/00$Build-1</Application>
  <Pages>2</Pages>
  <Words>161</Words>
  <Characters>1114</Characters>
  <CharactersWithSpaces>1215</CharactersWithSpaces>
  <Paragraphs>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2017-05-03T11:27:00Z</dcterms:created>
  <dc:creator>Admin</dc:creator>
  <dc:description/>
  <dc:language>ru-RU</dc:language>
  <cp:lastModifiedBy/>
  <dcterms:modified xsi:type="dcterms:W3CDTF">2020-12-23T19:05:14Z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