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2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Сведения 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доходах, расходах, об имуществе и обязател</w:t>
      </w:r>
      <w:r>
        <w:rPr>
          <w:rFonts w:ascii="Times New Roman" w:hAnsi="Times New Roman"/>
          <w:b w:val="1"/>
        </w:rPr>
        <w:t xml:space="preserve">ьствах имущественного характера </w:t>
      </w:r>
      <w:r>
        <w:rPr>
          <w:rFonts w:ascii="Times New Roman" w:hAnsi="Times New Roman"/>
          <w:b w:val="1"/>
        </w:rPr>
        <w:t>руководителя государственного бюджетного учреждения Республики Адыгея, подведомственного Министерству цифрового развития, информационных и телекоммуникационных технологий Республики Адыгея,</w:t>
      </w:r>
      <w:r>
        <w:rPr>
          <w:rFonts w:ascii="Times New Roman" w:hAnsi="Times New Roman"/>
          <w:b w:val="1"/>
        </w:rPr>
        <w:t xml:space="preserve"> супруга и несовершеннолетних детей за период с 1 января </w:t>
      </w:r>
      <w:r>
        <w:rPr>
          <w:rFonts w:ascii="Times New Roman" w:hAnsi="Times New Roman"/>
          <w:b w:val="1"/>
        </w:rPr>
        <w:t>201</w:t>
      </w:r>
      <w:r>
        <w:rPr>
          <w:rFonts w:ascii="Times New Roman" w:hAnsi="Times New Roman"/>
          <w:b w:val="1"/>
        </w:rPr>
        <w:t>9</w:t>
      </w:r>
      <w:r>
        <w:rPr>
          <w:rFonts w:ascii="Times New Roman" w:hAnsi="Times New Roman"/>
          <w:b w:val="1"/>
        </w:rPr>
        <w:t xml:space="preserve"> г</w:t>
      </w:r>
      <w:r>
        <w:rPr>
          <w:rFonts w:ascii="Times New Roman" w:hAnsi="Times New Roman"/>
          <w:b w:val="1"/>
        </w:rPr>
        <w:t xml:space="preserve">ода по 31 декабря </w:t>
      </w:r>
      <w:r>
        <w:rPr>
          <w:rFonts w:ascii="Times New Roman" w:hAnsi="Times New Roman"/>
          <w:b w:val="1"/>
        </w:rPr>
        <w:t>201</w:t>
      </w:r>
      <w:r>
        <w:rPr>
          <w:rFonts w:ascii="Times New Roman" w:hAnsi="Times New Roman"/>
          <w:b w:val="1"/>
        </w:rPr>
        <w:t>9</w:t>
      </w:r>
      <w:r>
        <w:rPr>
          <w:rFonts w:ascii="Times New Roman" w:hAnsi="Times New Roman"/>
          <w:b w:val="1"/>
        </w:rPr>
        <w:t xml:space="preserve"> г</w:t>
      </w:r>
      <w:r>
        <w:rPr>
          <w:rFonts w:ascii="Times New Roman" w:hAnsi="Times New Roman"/>
          <w:b w:val="1"/>
        </w:rPr>
        <w:t xml:space="preserve">ода, размещаемые 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официальном Интернет-сайте исполнительных органов государственной власти Республики Адыгея</w:t>
      </w:r>
    </w:p>
    <w:p w14:paraId="05000000">
      <w:pPr>
        <w:spacing w:after="0"/>
        <w:ind/>
        <w:jc w:val="center"/>
        <w:rPr>
          <w:rFonts w:ascii="Times New Roman" w:hAnsi="Times New Roman"/>
          <w:b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444"/>
        <w:gridCol w:w="2409"/>
        <w:gridCol w:w="2127"/>
        <w:gridCol w:w="2410"/>
        <w:gridCol w:w="1701"/>
        <w:gridCol w:w="1559"/>
        <w:gridCol w:w="2087"/>
      </w:tblGrid>
      <w:tr>
        <w:tc>
          <w:tcPr>
            <w:tcW w:type="dxa" w:w="2444"/>
            <w:vMerge w:val="restart"/>
            <w:shd w:fill="FFFFFF" w:val="clea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ФИО </w:t>
            </w:r>
          </w:p>
        </w:tc>
        <w:tc>
          <w:tcPr>
            <w:tcW w:type="dxa" w:w="2409"/>
            <w:vMerge w:val="restart"/>
            <w:shd w:fill="FFFFFF" w:val="clea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2127"/>
            <w:vMerge w:val="restart"/>
            <w:shd w:fill="FFFFFF" w:val="clea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декларированного годового дохода за 2019г. (руб.)</w:t>
            </w:r>
          </w:p>
        </w:tc>
        <w:tc>
          <w:tcPr>
            <w:tcW w:type="dxa" w:w="5670"/>
            <w:gridSpan w:val="3"/>
            <w:shd w:fill="FFFFFF" w:val="clea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type="dxa" w:w="2087"/>
            <w:vMerge w:val="restart"/>
            <w:shd w:fill="FFFFFF" w:val="clea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>
        <w:tc>
          <w:tcPr>
            <w:tcW w:type="dxa" w:w="2444"/>
            <w:gridSpan w:val="1"/>
            <w:vMerge w:val="continue"/>
            <w:shd w:fill="FFFFFF" w:val="clear"/>
          </w:tcPr>
          <w:p/>
        </w:tc>
        <w:tc>
          <w:tcPr>
            <w:tcW w:type="dxa" w:w="2409"/>
            <w:gridSpan w:val="1"/>
            <w:vMerge w:val="continue"/>
            <w:shd w:fill="FFFFFF" w:val="clear"/>
          </w:tcPr>
          <w:p/>
        </w:tc>
        <w:tc>
          <w:tcPr>
            <w:tcW w:type="dxa" w:w="2127"/>
            <w:gridSpan w:val="1"/>
            <w:vMerge w:val="continue"/>
            <w:shd w:fill="FFFFFF" w:val="clear"/>
          </w:tcPr>
          <w:p/>
        </w:tc>
        <w:tc>
          <w:tcPr>
            <w:tcW w:type="dxa" w:w="2410"/>
            <w:shd w:fill="FFFFFF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type="dxa" w:w="1701"/>
            <w:shd w:fill="FFFFFF" w:val="clea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(кв.м)</w:t>
            </w:r>
          </w:p>
        </w:tc>
        <w:tc>
          <w:tcPr>
            <w:tcW w:type="dxa" w:w="1559"/>
            <w:shd w:fill="FFFFFF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type="dxa" w:w="2087"/>
            <w:gridSpan w:val="1"/>
            <w:vMerge w:val="continue"/>
            <w:shd w:fill="FFFFFF" w:val="clear"/>
          </w:tcPr>
          <w:p/>
        </w:tc>
      </w:tr>
      <w:tr>
        <w:trPr>
          <w:trHeight w:hRule="atLeast" w:val="636"/>
        </w:trPr>
        <w:tc>
          <w:tcPr>
            <w:tcW w:type="dxa" w:w="2444"/>
            <w:shd w:fill="FFFFFF" w:val="clear"/>
          </w:tcPr>
          <w:p w14:paraId="0E00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Рожкова</w:t>
            </w:r>
          </w:p>
          <w:p w14:paraId="0F00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Елена</w:t>
            </w:r>
          </w:p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Геннадьевна</w:t>
            </w:r>
          </w:p>
        </w:tc>
        <w:tc>
          <w:tcPr>
            <w:tcW w:type="dxa" w:w="2409"/>
            <w:shd w:fill="FFFFFF" w:val="clear"/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ГБУ РА </w:t>
            </w:r>
            <w:r>
              <w:rPr>
                <w:rFonts w:ascii="Times New Roman" w:hAnsi="Times New Roman"/>
                <w:sz w:val="24"/>
              </w:rPr>
              <w:t>«ЦПТО»</w:t>
            </w:r>
          </w:p>
        </w:tc>
        <w:tc>
          <w:tcPr>
            <w:tcW w:type="dxa" w:w="2127"/>
            <w:shd w:fill="FFFFFF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668 904,82</w:t>
            </w:r>
          </w:p>
        </w:tc>
        <w:tc>
          <w:tcPr>
            <w:tcW w:type="dxa" w:w="2410"/>
            <w:shd w:fill="FFFFFF" w:val="clear"/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(пользование)</w:t>
            </w:r>
          </w:p>
        </w:tc>
        <w:tc>
          <w:tcPr>
            <w:tcW w:type="dxa" w:w="1701"/>
            <w:shd w:fill="FFFFFF" w:val="clea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52,4</w:t>
            </w:r>
          </w:p>
        </w:tc>
        <w:tc>
          <w:tcPr>
            <w:tcW w:type="dxa" w:w="1559"/>
            <w:shd w:fill="FFFFFF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shd w:fill="FFFFFF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28"/>
        </w:trPr>
        <w:tc>
          <w:tcPr>
            <w:tcW w:type="dxa" w:w="2444"/>
            <w:vMerge w:val="restart"/>
            <w:shd w:fill="FFFFFF" w:val="clea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Супруг </w:t>
            </w:r>
          </w:p>
        </w:tc>
        <w:tc>
          <w:tcPr>
            <w:tcW w:type="dxa" w:w="2409"/>
            <w:vMerge w:val="restart"/>
            <w:shd w:fill="FFFFFF" w:val="clear"/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vMerge w:val="restart"/>
            <w:shd w:fill="FFFFFF" w:val="clear"/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shd w:fill="FFFFFF" w:val="clear"/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(собственность)</w:t>
            </w:r>
          </w:p>
        </w:tc>
        <w:tc>
          <w:tcPr>
            <w:tcW w:type="dxa" w:w="1701"/>
            <w:shd w:fill="FFFFFF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26,1</w:t>
            </w:r>
          </w:p>
        </w:tc>
        <w:tc>
          <w:tcPr>
            <w:tcW w:type="dxa" w:w="1559"/>
            <w:shd w:fill="FFFFFF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vMerge w:val="restart"/>
            <w:shd w:fill="FFFFFF" w:val="clear"/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АЗ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31105</w:t>
            </w:r>
          </w:p>
        </w:tc>
      </w:tr>
      <w:tr>
        <w:trPr>
          <w:trHeight w:hRule="atLeast" w:val="200"/>
        </w:trPr>
        <w:tc>
          <w:tcPr>
            <w:tcW w:type="dxa" w:w="2444"/>
            <w:gridSpan w:val="1"/>
            <w:vMerge w:val="continue"/>
            <w:shd w:fill="FFFFFF" w:val="clear"/>
          </w:tcPr>
          <w:p/>
        </w:tc>
        <w:tc>
          <w:tcPr>
            <w:tcW w:type="dxa" w:w="2409"/>
            <w:gridSpan w:val="1"/>
            <w:vMerge w:val="continue"/>
            <w:shd w:fill="FFFFFF" w:val="clear"/>
          </w:tcPr>
          <w:p/>
        </w:tc>
        <w:tc>
          <w:tcPr>
            <w:tcW w:type="dxa" w:w="2127"/>
            <w:gridSpan w:val="1"/>
            <w:vMerge w:val="continue"/>
            <w:shd w:fill="FFFFFF" w:val="clear"/>
          </w:tcPr>
          <w:p/>
        </w:tc>
        <w:tc>
          <w:tcPr>
            <w:tcW w:type="dxa" w:w="2410"/>
            <w:shd w:fill="FFFFFF" w:val="clear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(долевая собственность, 1/2 доли)</w:t>
            </w:r>
          </w:p>
        </w:tc>
        <w:tc>
          <w:tcPr>
            <w:tcW w:type="dxa" w:w="1701"/>
            <w:shd w:fill="FFFFFF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591</w:t>
            </w:r>
          </w:p>
        </w:tc>
        <w:tc>
          <w:tcPr>
            <w:tcW w:type="dxa" w:w="1559"/>
            <w:shd w:fill="FFFFFF" w:val="clear"/>
          </w:tcPr>
          <w:p w14:paraId="2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7"/>
            <w:gridSpan w:val="1"/>
            <w:vMerge w:val="continue"/>
            <w:shd w:fill="FFFFFF" w:val="clear"/>
          </w:tcPr>
          <w:p/>
        </w:tc>
      </w:tr>
      <w:tr>
        <w:trPr>
          <w:trHeight w:hRule="atLeast" w:val="237"/>
        </w:trPr>
        <w:tc>
          <w:tcPr>
            <w:tcW w:type="dxa" w:w="2444"/>
            <w:shd w:fill="FFFFFF" w:val="clear"/>
          </w:tcPr>
          <w:p w14:paraId="2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сын</w:t>
            </w:r>
          </w:p>
        </w:tc>
        <w:tc>
          <w:tcPr>
            <w:tcW w:type="dxa" w:w="2409"/>
            <w:shd w:fill="FFFFFF" w:val="clear"/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shd w:fill="FFFFFF" w:val="clea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10"/>
            <w:shd w:fill="FFFFFF" w:val="clear"/>
          </w:tcPr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(пользование)</w:t>
            </w:r>
          </w:p>
        </w:tc>
        <w:tc>
          <w:tcPr>
            <w:tcW w:type="dxa" w:w="1701"/>
            <w:shd w:fill="FFFFFF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52,4</w:t>
            </w:r>
          </w:p>
        </w:tc>
        <w:tc>
          <w:tcPr>
            <w:tcW w:type="dxa" w:w="1559"/>
            <w:shd w:fill="FFFFFF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shd w:fill="FFFFFF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698"/>
        </w:trPr>
        <w:tc>
          <w:tcPr>
            <w:tcW w:type="dxa" w:w="2444"/>
            <w:shd w:fill="FFFFFF" w:val="clear"/>
          </w:tcPr>
          <w:p w14:paraId="2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сын</w:t>
            </w:r>
          </w:p>
        </w:tc>
        <w:tc>
          <w:tcPr>
            <w:tcW w:type="dxa" w:w="2409"/>
            <w:shd w:fill="FFFFFF" w:val="clear"/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shd w:fill="FFFFFF" w:val="clea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410"/>
            <w:shd w:fill="FFFFFF" w:val="clear"/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Квартира (пользование)</w:t>
            </w:r>
          </w:p>
        </w:tc>
        <w:tc>
          <w:tcPr>
            <w:tcW w:type="dxa" w:w="1701"/>
            <w:shd w:fill="FFFFFF" w:val="clea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52,4</w:t>
            </w:r>
          </w:p>
        </w:tc>
        <w:tc>
          <w:tcPr>
            <w:tcW w:type="dxa" w:w="1559"/>
            <w:shd w:fill="FFFFFF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2087"/>
            <w:shd w:fill="FFFFFF" w:val="clea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31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w="16838"/>
      <w:pgMar w:bottom="426" w:footer="709" w:gutter="0" w:header="709" w:left="1418" w:right="68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ConsPlusCell"/>
    <w:link w:val="Style_13_ch"/>
    <w:pPr>
      <w:widowControl w:val="0"/>
      <w:ind/>
    </w:pPr>
    <w:rPr>
      <w:rFonts w:ascii="Arial" w:hAnsi="Arial"/>
    </w:rPr>
  </w:style>
  <w:style w:styleId="Style_13_ch" w:type="character">
    <w:name w:val="ConsPlusCell"/>
    <w:link w:val="Style_13"/>
    <w:rPr>
      <w:rFonts w:ascii="Arial" w:hAnsi="Arial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Balloon Text"/>
    <w:basedOn w:val="Style_2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