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FC" w:rsidRPr="003C4BFC" w:rsidRDefault="003C4BFC" w:rsidP="003C4BFC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3C4BFC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 руководителей ГКЦ РС(Я) за 2017 год</w:t>
      </w:r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542"/>
        <w:gridCol w:w="1228"/>
        <w:gridCol w:w="987"/>
        <w:gridCol w:w="1591"/>
        <w:gridCol w:w="1053"/>
        <w:gridCol w:w="1065"/>
        <w:gridCol w:w="987"/>
        <w:gridCol w:w="1053"/>
        <w:gridCol w:w="1065"/>
        <w:gridCol w:w="1502"/>
        <w:gridCol w:w="1832"/>
        <w:gridCol w:w="1663"/>
      </w:tblGrid>
      <w:tr w:rsidR="003C4BFC" w:rsidRPr="003C4BFC" w:rsidTr="003C4BFC">
        <w:trPr>
          <w:trHeight w:val="435"/>
          <w:tblHeader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ТРАНСПОРТНЫЕ СРЕДСТВА</w:t>
            </w:r>
          </w:p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ДЕКЛАРИРОВАННЫЙ ГОДОВОЙ ДОХОД </w:t>
            </w:r>
          </w:p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bookmarkEnd w:id="0"/>
      <w:tr w:rsidR="003C4BFC" w:rsidRPr="003C4BFC" w:rsidTr="003C4BFC">
        <w:trPr>
          <w:trHeight w:val="169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СТРАНА РАСПОЛО-</w:t>
            </w:r>
          </w:p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  <w:r w:rsidRPr="003C4BFC">
              <w:rPr>
                <w:rFonts w:eastAsia="Times New Roman"/>
                <w:caps/>
                <w:color w:val="8399AE"/>
                <w:spacing w:val="15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aps/>
                <w:color w:val="8399AE"/>
                <w:spacing w:val="15"/>
                <w:sz w:val="18"/>
                <w:szCs w:val="18"/>
                <w:lang w:eastAsia="ru-RU"/>
              </w:rPr>
            </w:pPr>
          </w:p>
        </w:tc>
      </w:tr>
      <w:tr w:rsidR="003C4BFC" w:rsidRPr="003C4BFC" w:rsidTr="003C4BF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C4BFC" w:rsidRPr="003C4BFC" w:rsidRDefault="003C4BFC" w:rsidP="003C4BFC">
            <w:pPr>
              <w:numPr>
                <w:ilvl w:val="0"/>
                <w:numId w:val="1"/>
              </w:numPr>
              <w:spacing w:after="0" w:line="330" w:lineRule="atLeast"/>
              <w:ind w:left="0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Винокурова Антонина Борисовна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 ССА 220621-01, 2015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3 373 386,80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земельный участок </w:t>
            </w: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под теплый 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теплый 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C4BFC" w:rsidRPr="003C4BFC" w:rsidRDefault="003C4BFC" w:rsidP="003C4BFC">
            <w:pPr>
              <w:numPr>
                <w:ilvl w:val="0"/>
                <w:numId w:val="2"/>
              </w:numPr>
              <w:spacing w:after="0" w:line="330" w:lineRule="atLeast"/>
              <w:ind w:left="0"/>
              <w:jc w:val="both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Лыкова</w:t>
            </w:r>
          </w:p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первый заместитель председателя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УАЗ-351, 1986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2 292 466,61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1116,0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Тойота Краун, 1995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196 432,91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1116,0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C4BFC" w:rsidRPr="003C4BFC" w:rsidRDefault="003C4BFC" w:rsidP="003C4BFC">
            <w:pPr>
              <w:numPr>
                <w:ilvl w:val="0"/>
                <w:numId w:val="3"/>
              </w:numPr>
              <w:spacing w:after="0" w:line="330" w:lineRule="atLeast"/>
              <w:ind w:left="0"/>
              <w:jc w:val="both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Служаева Галина Григорьевна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2 115 469,42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 под  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rPr>
          <w:trHeight w:val="1695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C4BFC" w:rsidRPr="003C4BFC" w:rsidRDefault="003C4BFC" w:rsidP="003C4BFC">
            <w:pPr>
              <w:numPr>
                <w:ilvl w:val="0"/>
                <w:numId w:val="4"/>
              </w:numPr>
              <w:spacing w:after="0" w:line="330" w:lineRule="atLeast"/>
              <w:ind w:left="0"/>
              <w:jc w:val="both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Антонов Дмитрий Семенович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Ниссан Vanette, 1987</w:t>
            </w:r>
          </w:p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Тойота Crown, 1995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2 524 510,92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1 385 780,98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член семьи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  <w:tr w:rsidR="003C4BFC" w:rsidRPr="003C4BFC" w:rsidTr="003C4B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4BFC" w:rsidRPr="003C4BFC" w:rsidRDefault="003C4BFC" w:rsidP="003C4BFC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C4BFC" w:rsidRPr="003C4BFC" w:rsidRDefault="003C4BFC" w:rsidP="003C4BFC">
            <w:pPr>
              <w:spacing w:after="0" w:line="240" w:lineRule="auto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3C4BFC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15BB"/>
    <w:multiLevelType w:val="multilevel"/>
    <w:tmpl w:val="C344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34D2D"/>
    <w:multiLevelType w:val="multilevel"/>
    <w:tmpl w:val="1BF03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F2107A"/>
    <w:multiLevelType w:val="multilevel"/>
    <w:tmpl w:val="7B58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353AA"/>
    <w:multiLevelType w:val="multilevel"/>
    <w:tmpl w:val="AA66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4BF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767E3-CCE5-4897-A0E7-37DBA6B6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2020-06-12T06:26:00Z</dcterms:modified>
</cp:coreProperties>
</file>