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</w:t>
      </w:r>
    </w:p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депутатами Совета депутатов муниципального округа Нагорный</w:t>
      </w:r>
    </w:p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1 января 2018 года по 31 декабря 2018 года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564"/>
        <w:gridCol w:w="87"/>
        <w:gridCol w:w="87"/>
        <w:gridCol w:w="87"/>
        <w:gridCol w:w="1242"/>
        <w:gridCol w:w="1565"/>
        <w:gridCol w:w="1373"/>
        <w:gridCol w:w="1136"/>
        <w:gridCol w:w="1108"/>
        <w:gridCol w:w="1565"/>
        <w:gridCol w:w="1136"/>
        <w:gridCol w:w="1108"/>
        <w:gridCol w:w="1430"/>
        <w:gridCol w:w="1213"/>
        <w:gridCol w:w="1393"/>
      </w:tblGrid>
      <w:tr w:rsidR="005C2414" w:rsidRPr="005C2414" w:rsidTr="005C2414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Транспор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тные средства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Деклари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рованный годовой доход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ного имущества, источники)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 собствен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страна распо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страна распо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Виноградова Е. М.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 МИЦУБИСИ Лайнсер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2 478 089,00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58 524,00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 xml:space="preserve">несовершеннолетний 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 xml:space="preserve">не 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Жарикова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3 002 407,00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Некрасова Н.А.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 КИА Соренто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2 974 916,00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3 095 322,00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Нерсесян Л.С.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475 184,00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217 678,00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Сухов О.В.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3 718 696,00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343,5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343,5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343,5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343,5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Филиппова Т.В.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1 982 221,00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 ПЕЖО 407,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 xml:space="preserve">легковой 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834 751,00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Черникова С.А.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 ХЕНДЭ СОЛАРИС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2 311 734,00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373 784,00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Шиндряева Н.Н.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9 688 788,00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 BMW 118I,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 xml:space="preserve">легковой 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автомобиль Opel Corsa,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1 233 508,00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 xml:space="preserve">общая 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Шутов П.В.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мотоцикл Харлей-Девидсон FLSTFB,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мотоцикл Харлей-Девидсон FLHXS,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моторная лодка Казанка Р7104КЕ,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моторная лодка TAHOE P81-60НГ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8 180 852,00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229,1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 Ауди Q7,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 Инфинити QX60,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 xml:space="preserve">легковой автомобиль 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Мерседес Бенс SLK200,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УАЗ 315195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529 354,00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229,1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229,1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C2414" w:rsidRPr="005C2414" w:rsidRDefault="005C2414" w:rsidP="005C2414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</w:t>
      </w:r>
    </w:p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об имуществе и обязательствах имущественного характера,</w:t>
      </w:r>
    </w:p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представленные главой муниципального округа Нагорный</w:t>
      </w:r>
    </w:p>
    <w:p w:rsidR="005C2414" w:rsidRPr="005C2414" w:rsidRDefault="005C2414" w:rsidP="005C2414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5C2414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1 января 2018 года по 31 декабря 2018 года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1535"/>
        <w:gridCol w:w="1327"/>
        <w:gridCol w:w="1277"/>
        <w:gridCol w:w="1244"/>
        <w:gridCol w:w="1535"/>
        <w:gridCol w:w="1277"/>
        <w:gridCol w:w="1244"/>
        <w:gridCol w:w="1588"/>
        <w:gridCol w:w="1368"/>
        <w:gridCol w:w="1578"/>
      </w:tblGrid>
      <w:tr w:rsidR="005C2414" w:rsidRPr="005C2414" w:rsidTr="005C2414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Транспор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тные средства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Деклари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рованный годовой доход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ного имущества, источники)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собствен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</w:p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страна распо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страна распо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Медведева Н.Е.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2 850 043,00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 ПЕЖО 308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1 161 252,00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5C2414" w:rsidRPr="005C2414" w:rsidTr="005C24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индиви</w:t>
            </w: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br/>
              <w:t>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2414" w:rsidRPr="005C2414" w:rsidRDefault="005C2414" w:rsidP="005C241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C241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5C2414" w:rsidRDefault="00243221" w:rsidP="001C34A2">
      <w:pPr>
        <w:rPr>
          <w:sz w:val="22"/>
          <w:szCs w:val="22"/>
        </w:rPr>
      </w:pPr>
    </w:p>
    <w:sectPr w:rsidR="00243221" w:rsidRPr="005C241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068A"/>
    <w:rsid w:val="003D090D"/>
    <w:rsid w:val="004E4A62"/>
    <w:rsid w:val="00553AA0"/>
    <w:rsid w:val="00595A02"/>
    <w:rsid w:val="005C241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5C24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2020-01-28T10:27:00Z</dcterms:modified>
</cp:coreProperties>
</file>