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60" w:rsidRDefault="00CC7D60" w:rsidP="00CC7D6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гражданских служащих Сестрорецкого районного суда Санкт-Петербурга за 2018 год — Сестрорецкий районный суд города Санкт-Петербурга</w:t>
      </w:r>
    </w:p>
    <w:p w:rsidR="00CC7D60" w:rsidRDefault="00CC7D60" w:rsidP="00CC7D6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Сведения</w:t>
      </w:r>
    </w:p>
    <w:p w:rsidR="00CC7D60" w:rsidRDefault="00CC7D60" w:rsidP="00CC7D6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 доходах, расходах, об имуществе и обязательствах</w:t>
      </w:r>
    </w:p>
    <w:p w:rsidR="00CC7D60" w:rsidRDefault="00CC7D60" w:rsidP="00CC7D6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имущественного характера за период</w:t>
      </w:r>
    </w:p>
    <w:p w:rsidR="00CC7D60" w:rsidRDefault="00CC7D60" w:rsidP="00CC7D6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1 января 2018 г. по 31 декабря 2018 г.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"/>
        <w:gridCol w:w="1928"/>
        <w:gridCol w:w="1182"/>
        <w:gridCol w:w="987"/>
        <w:gridCol w:w="1488"/>
        <w:gridCol w:w="780"/>
        <w:gridCol w:w="1268"/>
        <w:gridCol w:w="838"/>
        <w:gridCol w:w="780"/>
        <w:gridCol w:w="1268"/>
        <w:gridCol w:w="1858"/>
        <w:gridCol w:w="1617"/>
        <w:gridCol w:w="1433"/>
      </w:tblGrid>
      <w:tr w:rsidR="00CC7D60" w:rsidTr="00CC7D60"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N п/п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&lt;5&gt; 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CC7D60" w:rsidTr="00CC7D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Барковская А.Н.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Начальник общего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2/3 доли квартиры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1/2 доля гаража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55,7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78,4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18,5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557639,00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Супруг Барковский Н.Ю.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Мазда 6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218898,52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Барковский В.Н.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Ахмедова В.Р.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38,7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Мерседес Бенц ML 300, 2014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Мерседес Бенц SLK200, 2012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2280892,02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Доход, полученный от продажи легкового автомобиля</w:t>
            </w: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lastRenderedPageBreak/>
              <w:t>3.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Купрейченко А.Б.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76,9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Опель Corsa2002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566806,77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Супруг Купрейченко С.А.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53,4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Honda Pilot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402130,99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Купрейченко Д.С.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53,4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76,9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0,11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Севостьянова С.Ю.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Помощник председателя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1/4 доля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74,3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Мерседес W220 s500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1999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530317,72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Севостьянова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28,0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Марченко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58,9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495955,43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Супруг Марченко П.Н.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60,0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Форм С-макс 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622213,69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Несовершеннолетний ребенок Марченко Е.П.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  <w:tr w:rsidR="00CC7D60" w:rsidTr="00CC7D60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Несовершеннолетний ребенок Марченко П.П.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D60" w:rsidRDefault="00CC7D60">
            <w:pPr>
              <w:rPr>
                <w:szCs w:val="24"/>
              </w:rPr>
            </w:pPr>
          </w:p>
        </w:tc>
      </w:tr>
    </w:tbl>
    <w:p w:rsidR="00CC7D60" w:rsidRDefault="00CC7D60" w:rsidP="00CC7D6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hyperlink r:id="rId4" w:history="1">
        <w:r>
          <w:rPr>
            <w:rFonts w:ascii="Arial" w:hAnsi="Arial" w:cs="Arial"/>
            <w:i/>
            <w:iCs/>
            <w:color w:val="0066CC"/>
            <w:sz w:val="26"/>
            <w:szCs w:val="26"/>
            <w:u w:val="single"/>
          </w:rPr>
          <w:br/>
        </w:r>
        <w:r>
          <w:rPr>
            <w:rStyle w:val="a5"/>
            <w:rFonts w:ascii="Arial" w:hAnsi="Arial" w:cs="Arial"/>
            <w:i/>
            <w:iCs/>
            <w:color w:val="0066CC"/>
            <w:sz w:val="26"/>
            <w:szCs w:val="26"/>
          </w:rPr>
          <w:t>Приказ Судебного департамента при Верховном Суде РФ от 17.11.2016 N 223 (ред. от 20.12.2016) "Об утверждении Положения о порядке ведения раздела "Противодействие коррупции" на официальных сайтах Судебного департамента при Верховном Суде Российской Федерации, управлений Судебного департамента в субъектах Российской Федерации, федеральных судов общей юрисдикции и федеральных арбитражных судов" {КонсультантПлюс}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1E61"/>
    <w:rsid w:val="00BE110E"/>
    <w:rsid w:val="00C76735"/>
    <w:rsid w:val="00CC7D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86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A9B7F4A5DE0595CEDD8FF98DE08EBBEDBF8DE96EAB1E382C9C98DA6381FE922064F0CB76F477286L0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2019-07-26T05:42:00Z</dcterms:modified>
</cp:coreProperties>
</file>