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FB" w:rsidRDefault="001C49FB" w:rsidP="001C49FB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муниципального образования «Николаевский район» за период с 01.01.2017 по 31.12.2017г.г.</w:t>
      </w:r>
    </w:p>
    <w:p w:rsidR="001C49FB" w:rsidRDefault="001C49FB" w:rsidP="001C49FB">
      <w:pPr>
        <w:spacing w:before="100" w:beforeAutospacing="1" w:after="100" w:afterAutospacing="1"/>
        <w:jc w:val="center"/>
        <w:rPr>
          <w:color w:val="333333"/>
          <w:szCs w:val="24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/>
      </w:tblPr>
      <w:tblGrid>
        <w:gridCol w:w="100"/>
        <w:gridCol w:w="1918"/>
        <w:gridCol w:w="1809"/>
        <w:gridCol w:w="1022"/>
        <w:gridCol w:w="77"/>
        <w:gridCol w:w="145"/>
        <w:gridCol w:w="1285"/>
        <w:gridCol w:w="247"/>
        <w:gridCol w:w="377"/>
        <w:gridCol w:w="83"/>
        <w:gridCol w:w="600"/>
        <w:gridCol w:w="53"/>
        <w:gridCol w:w="131"/>
        <w:gridCol w:w="1206"/>
        <w:gridCol w:w="1186"/>
        <w:gridCol w:w="812"/>
        <w:gridCol w:w="1206"/>
        <w:gridCol w:w="1461"/>
        <w:gridCol w:w="1823"/>
        <w:gridCol w:w="70"/>
        <w:gridCol w:w="60"/>
        <w:gridCol w:w="43"/>
      </w:tblGrid>
      <w:tr w:rsidR="001C49FB" w:rsidTr="001C49FB">
        <w:trPr>
          <w:trHeight w:val="555"/>
          <w:jc w:val="center"/>
        </w:trPr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№</w:t>
            </w:r>
          </w:p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Долж-ность</w:t>
            </w:r>
          </w:p>
        </w:tc>
        <w:tc>
          <w:tcPr>
            <w:tcW w:w="442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Транспортные средства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5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Кузнецова </w:t>
            </w: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Елена Александровна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учреждения культуры «Межпоселенческая библиотека»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344429,60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(1/2)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Шалагина </w:t>
            </w: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Наталья Владимировна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«Николаевская детская школа искусств»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НИССАН АЛЬМЕРА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569763,05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ВАЗ 111830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259425,86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3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110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нолетний сын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3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2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Еделькин Александр Васильевич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учреждения «Транссервис»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 ЛАДА-ГРАНТА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442819,28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ГАЗ-69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380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ГАЗ-3302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241117,27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50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4</w:t>
            </w:r>
          </w:p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Ибрагимова Галия Ризвановна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учреждения культуры «Николаевский межпоселенческий культурно-досуговый центр»</w:t>
            </w:r>
          </w:p>
        </w:tc>
        <w:tc>
          <w:tcPr>
            <w:tcW w:w="4423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55,6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461362,23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ФОРД ФОКУС-3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419318,13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92,2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620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Дуванов</w:t>
            </w: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Сергей Юрьевич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Директор Муниципального казённого учреждения «Управление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муниципальным хозяйством»</w:t>
            </w:r>
          </w:p>
        </w:tc>
        <w:tc>
          <w:tcPr>
            <w:tcW w:w="4423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 21100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78054,03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22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ВАЗ 21053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2240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310350,70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70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Ермолаева Татьяна Николаевна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Начальник муниципального учреждения оздоровительный детский лагерь «Жемчужина»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838335,18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34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 СУЗУКИ СХ-4 классик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590200,41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Легковой автомобиль ГАЗ 31029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2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Грузовой автомобиль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ГАЗ САЗ 3507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0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63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3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00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23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0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1731,0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825"/>
          <w:jc w:val="center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Чернышев Рустэм Радионович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both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Директор муниципального бюджетного учреждения дополнительного образования «Канадейская детская школа искусств»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737728,88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9FB" w:rsidRDefault="001C49F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1C49FB" w:rsidTr="001C49FB">
        <w:trPr>
          <w:trHeight w:val="11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</w:t>
            </w:r>
          </w:p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(25/60)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87,6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49FB" w:rsidRDefault="001C49FB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9FB" w:rsidRDefault="001C49FB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49FB" w:rsidRDefault="001C49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9FB" w:rsidRDefault="001C49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9FB" w:rsidRDefault="001C49F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49FB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5EC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1C49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2018-09-12T09:43:00Z</dcterms:modified>
</cp:coreProperties>
</file>