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2F38B1" w:rsidRPr="00F90A86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2F38B1" w:rsidRDefault="002F38B1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2F38B1" w:rsidRPr="00572CF5" w:rsidRDefault="002F38B1" w:rsidP="00C76E1E">
      <w:pPr>
        <w:pStyle w:val="2"/>
        <w:jc w:val="center"/>
        <w:rPr>
          <w:sz w:val="24"/>
          <w:szCs w:val="24"/>
          <w:u w:val="singl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2F38B1" w:rsidTr="002F38B1">
        <w:trPr>
          <w:trHeight w:val="261"/>
          <w:tblHeader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F38B1" w:rsidTr="002F38B1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</w:tr>
      <w:tr w:rsidR="002F38B1" w:rsidTr="002F38B1">
        <w:trPr>
          <w:trHeight w:val="189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216C2E" w:rsidRDefault="002F38B1" w:rsidP="00666D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Жанбаев Б.Н. 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Саракташский район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(паевая земля)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4D2823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SUBARUFORESTER</w:t>
            </w:r>
          </w:p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для легкового автомобиля </w:t>
            </w:r>
          </w:p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38B1" w:rsidRPr="00A958B0" w:rsidRDefault="002F38B1" w:rsidP="00666D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91766D" w:rsidRDefault="002F38B1" w:rsidP="0091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1186313,20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A958B0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F38B1" w:rsidRPr="00A958B0" w:rsidRDefault="002F38B1" w:rsidP="00666DB6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87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1/3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1/3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89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216C2E" w:rsidRDefault="002F38B1" w:rsidP="00666DB6">
            <w:pPr>
              <w:rPr>
                <w:b/>
                <w:sz w:val="20"/>
                <w:szCs w:val="20"/>
              </w:rPr>
            </w:pPr>
          </w:p>
          <w:p w:rsidR="002F38B1" w:rsidRPr="00216C2E" w:rsidRDefault="002F38B1" w:rsidP="005A3724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</w:p>
          <w:p w:rsidR="002F38B1" w:rsidRDefault="002F38B1" w:rsidP="00666DB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</w:p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87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 w:rsidP="005A3724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1/3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</w:p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Pr="00A958B0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234109,85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(паевая земля)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Pr="0098770D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1/3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Петрова Л.Н.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экономике – председатель Комитета по управлению муниципальны</w:t>
            </w:r>
            <w:r>
              <w:rPr>
                <w:sz w:val="20"/>
                <w:szCs w:val="20"/>
              </w:rPr>
              <w:lastRenderedPageBreak/>
              <w:t xml:space="preserve">м имуществом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ЛПХ)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1/4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910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917386,33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8/100 долей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20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долевая 1/4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81,9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Таракин Н.Ю. 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  <w:p w:rsidR="002F38B1" w:rsidRDefault="002F38B1" w:rsidP="00AA2DA4">
            <w:pPr>
              <w:rPr>
                <w:sz w:val="20"/>
                <w:szCs w:val="20"/>
              </w:rPr>
            </w:pPr>
          </w:p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района – начальник управления сельского хозяйства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¼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Общ. 78,5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 (пай) 1/1140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793356,44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C1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54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¼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Общ. 78,5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248894,02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Тарасов А.М.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по промышленности, строительству, ЖКХ, транспорту и связи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 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2131, автоприцеп Сармат 8232</w:t>
            </w: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657761,73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  <w:p w:rsidR="002F38B1" w:rsidRDefault="002F38B1" w:rsidP="008A7331">
            <w:pPr>
              <w:rPr>
                <w:sz w:val="20"/>
                <w:szCs w:val="20"/>
              </w:rPr>
            </w:pPr>
          </w:p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54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</w:p>
          <w:p w:rsidR="002F38B1" w:rsidRDefault="002F38B1" w:rsidP="0036716D">
            <w:pPr>
              <w:rPr>
                <w:sz w:val="20"/>
                <w:szCs w:val="20"/>
              </w:rPr>
            </w:pPr>
          </w:p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607609,15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  <w:p w:rsidR="002F38B1" w:rsidRDefault="002F38B1" w:rsidP="00C672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54B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</w:t>
            </w:r>
            <w:r>
              <w:rPr>
                <w:sz w:val="20"/>
                <w:szCs w:val="20"/>
              </w:rPr>
              <w:lastRenderedPageBreak/>
              <w:t xml:space="preserve">ый)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Шевцов В.И.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643928,63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312238,30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</w:p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Бакиров Р.М.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– руководитель аппарата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  <w:p w:rsidR="002F38B1" w:rsidRDefault="002F38B1" w:rsidP="008A7331">
            <w:pPr>
              <w:rPr>
                <w:sz w:val="20"/>
                <w:szCs w:val="20"/>
              </w:rPr>
            </w:pPr>
          </w:p>
          <w:p w:rsidR="002F38B1" w:rsidRDefault="002F38B1" w:rsidP="008A7331">
            <w:pPr>
              <w:rPr>
                <w:sz w:val="20"/>
                <w:szCs w:val="20"/>
              </w:rPr>
            </w:pPr>
          </w:p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</w:p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768265,00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146059,00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746 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 w:rsidP="004D0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252,00</w:t>
            </w:r>
            <w:bookmarkStart w:id="0" w:name="_GoBack"/>
            <w:bookmarkEnd w:id="0"/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</w:tbl>
    <w:p w:rsidR="002F38B1" w:rsidRPr="007F46C8" w:rsidRDefault="002F38B1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2F38B1" w:rsidRPr="007F46C8" w:rsidRDefault="002F38B1">
      <w:pPr>
        <w:rPr>
          <w:sz w:val="22"/>
          <w:szCs w:val="22"/>
        </w:rPr>
      </w:pP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2F38B1" w:rsidRPr="00F90A86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2F38B1" w:rsidRDefault="002F38B1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2F38B1" w:rsidRDefault="002F38B1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2F38B1" w:rsidRPr="00572CF5" w:rsidRDefault="002F38B1" w:rsidP="00C76E1E">
      <w:pPr>
        <w:pStyle w:val="2"/>
        <w:jc w:val="center"/>
        <w:rPr>
          <w:sz w:val="24"/>
          <w:szCs w:val="24"/>
          <w:u w:val="singl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2F38B1" w:rsidTr="002F38B1">
        <w:trPr>
          <w:trHeight w:val="261"/>
          <w:tblHeader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F38B1" w:rsidTr="002F38B1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</w:tr>
      <w:tr w:rsidR="002F38B1" w:rsidTr="002F38B1">
        <w:trPr>
          <w:trHeight w:val="189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Гронская Е.В.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538170,62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87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89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B102EE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Pr="007B7A80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CHEVROLETLANOS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>LADARSOY</w:t>
            </w:r>
            <w:r w:rsidRPr="007B7A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LKADALARGUS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639678,8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87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373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Жирова Л.А.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</w:t>
            </w:r>
            <w:r>
              <w:rPr>
                <w:sz w:val="20"/>
                <w:szCs w:val="20"/>
              </w:rPr>
              <w:lastRenderedPageBreak/>
              <w:t>закупкам товаров, работ и услуг отдела экономического анализа и прогнозирования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306169,33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2F38B1" w:rsidRDefault="002F38B1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– E 9250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391541,0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07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07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07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2F38B1" w:rsidRPr="0098770D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07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07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07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Колесникова О.В.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внутреннему муниципальному финансовому контролю </w:t>
            </w:r>
            <w:r>
              <w:rPr>
                <w:sz w:val="20"/>
                <w:szCs w:val="20"/>
              </w:rPr>
              <w:lastRenderedPageBreak/>
              <w:t>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07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98770D" w:rsidRDefault="002F38B1" w:rsidP="007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334386,54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Pr="0098770D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(сад-огород)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Pr="0098770D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Понкратов Д.В.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предоставлению муниципальных услуг в электронном виде и защите информации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2F38B1" w:rsidRPr="00B42815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151997,69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Pr="0098770D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 w:rsidP="00BA2549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2F38B1" w:rsidRPr="0098770D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Морозова Э.Р.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B4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муниципальным имуществом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247270,35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Булатова Р.С.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554825,6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Форд-Фъюжен, ВАЗ-2121 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303061,82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Глянько С.Н.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бухгалтерского учета и отчетности администраци</w:t>
            </w:r>
            <w:r>
              <w:rPr>
                <w:sz w:val="20"/>
                <w:szCs w:val="20"/>
              </w:rPr>
              <w:lastRenderedPageBreak/>
              <w:t>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296133,86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4F0226" w:rsidRDefault="002F38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ix 35</w:t>
            </w:r>
          </w:p>
          <w:p w:rsidR="002F38B1" w:rsidRPr="004F0226" w:rsidRDefault="002F38B1" w:rsidP="00DF0F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Pr="00A842CC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74436,0</w:t>
            </w:r>
          </w:p>
        </w:tc>
        <w:tc>
          <w:tcPr>
            <w:tcW w:w="1442" w:type="dxa"/>
            <w:vMerge w:val="restart"/>
            <w:vAlign w:val="center"/>
          </w:tcPr>
          <w:p w:rsidR="002F38B1" w:rsidRPr="00312B54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Pr="00312B54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(столовая)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7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Pr="00312B54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Глянько Т.А.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распоряжению и контролю за муниципальны</w:t>
            </w:r>
            <w:r>
              <w:rPr>
                <w:sz w:val="20"/>
                <w:szCs w:val="20"/>
              </w:rPr>
              <w:lastRenderedPageBreak/>
              <w:t>м имуществом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302174,08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Опель, УАЗ-2206, ВАЗ 21061, Газель ГАЗ 322132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216202,35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Голунова Л.А.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ЗАГС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438517,33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Ененкова Т.С.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 xml:space="preserve">специалист по земельным отношениям и рекламе комитета по управлению муниципальным имуществом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 w:rsidP="0038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285858,67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Шевралет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616352,35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Комарова А.Ю.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делам молодежи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676647" w:rsidRDefault="002F38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676647" w:rsidRDefault="002F38B1" w:rsidP="00251F8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676647" w:rsidRDefault="002F38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676647" w:rsidRDefault="002F38B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844403,99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052DA0" w:rsidRDefault="002F38B1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052DA0" w:rsidRDefault="002F38B1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>долевая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052DA0" w:rsidRDefault="002F38B1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>170000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Pr="00052DA0" w:rsidRDefault="002F38B1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35,89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Кравченко Л.Н.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экономического анализа и прогнозирования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1/3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788534,86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531058,87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434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 w:rsidP="00687B15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Логинова О.</w:t>
            </w:r>
            <w:r>
              <w:rPr>
                <w:b/>
                <w:sz w:val="20"/>
                <w:szCs w:val="20"/>
              </w:rPr>
              <w:t>В</w:t>
            </w:r>
            <w:r w:rsidRPr="00216C2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– главный </w:t>
            </w:r>
            <w:r>
              <w:rPr>
                <w:sz w:val="20"/>
                <w:szCs w:val="20"/>
              </w:rPr>
              <w:lastRenderedPageBreak/>
              <w:t>бухгалтер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(пай)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1/145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22330000,0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394112,89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1/264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3/4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1/4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84504,0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1/264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Родькина Ю.И.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и использованию земли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327803,88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Саткаева  Е.Е.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– ответственный секретарь </w:t>
            </w:r>
            <w:r>
              <w:rPr>
                <w:sz w:val="20"/>
                <w:szCs w:val="20"/>
              </w:rPr>
              <w:lastRenderedPageBreak/>
              <w:t xml:space="preserve">комиссии по делам несовершеннолетних и защите их прав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359684,05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Тучков С.Г.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архитектор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1E1BD4" w:rsidRDefault="002F38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Nissan-GASHGAI </w:t>
            </w:r>
          </w:p>
        </w:tc>
        <w:tc>
          <w:tcPr>
            <w:tcW w:w="1517" w:type="dxa"/>
            <w:vMerge w:val="restart"/>
            <w:vAlign w:val="center"/>
          </w:tcPr>
          <w:p w:rsidR="002F38B1" w:rsidRPr="000E742A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789571,85</w:t>
            </w:r>
          </w:p>
        </w:tc>
        <w:tc>
          <w:tcPr>
            <w:tcW w:w="1442" w:type="dxa"/>
            <w:vAlign w:val="center"/>
          </w:tcPr>
          <w:p w:rsidR="002F38B1" w:rsidRPr="001E1BD4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1E1BD4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38B1" w:rsidRPr="001E1BD4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Pr="001E1BD4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473069,72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  <w:r>
              <w:rPr>
                <w:sz w:val="20"/>
                <w:szCs w:val="20"/>
              </w:rPr>
              <w:lastRenderedPageBreak/>
              <w:t xml:space="preserve">доля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Узембаев В.Т.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осуществлению закупок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Grand Starex</w:t>
            </w:r>
          </w:p>
          <w:p w:rsidR="002F38B1" w:rsidRPr="0036716D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ГАЗ-2752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295930,51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1/3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Pr="0036716D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54769,40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Улицкий П.В.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ГОЧС администраци</w:t>
            </w:r>
            <w:r>
              <w:rPr>
                <w:sz w:val="20"/>
                <w:szCs w:val="20"/>
              </w:rPr>
              <w:lastRenderedPageBreak/>
              <w:t xml:space="preserve">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(сад-огород)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 412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367377,23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 w:rsidP="00796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95111,03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</w:tbl>
    <w:p w:rsidR="002F38B1" w:rsidRPr="007F46C8" w:rsidRDefault="002F38B1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2F38B1" w:rsidRPr="007F46C8" w:rsidRDefault="002F38B1">
      <w:pPr>
        <w:rPr>
          <w:sz w:val="22"/>
          <w:szCs w:val="22"/>
        </w:rPr>
      </w:pP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2F38B1" w:rsidRPr="00F90A86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2F38B1" w:rsidRDefault="002F38B1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2F38B1" w:rsidRDefault="002F38B1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2F38B1" w:rsidRPr="00572CF5" w:rsidRDefault="002F38B1" w:rsidP="00C76E1E">
      <w:pPr>
        <w:pStyle w:val="2"/>
        <w:jc w:val="center"/>
        <w:rPr>
          <w:sz w:val="24"/>
          <w:szCs w:val="24"/>
          <w:u w:val="singl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2F38B1" w:rsidTr="002F38B1">
        <w:trPr>
          <w:trHeight w:val="261"/>
          <w:tblHeader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F38B1" w:rsidTr="002F38B1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Бессарабов А.С.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 Саракташского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1/2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3A3158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269467,86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(дачный)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45,3 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110160,37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45,3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F38B1" w:rsidRPr="003A3158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Громова С.А. </w:t>
            </w:r>
          </w:p>
        </w:tc>
        <w:tc>
          <w:tcPr>
            <w:tcW w:w="1602" w:type="dxa"/>
            <w:vAlign w:val="center"/>
          </w:tcPr>
          <w:p w:rsidR="002F38B1" w:rsidRDefault="002F38B1" w:rsidP="003A3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«Центр поддержки малого и среднего предпринимательства в Саракташском районе»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комн.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149640,0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Рыжков А.Н.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«Физкультурно-оздоровительный комплекс «Надежда» Саракташского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Шевроле-Нива 212300 Прицеп легкового автомобиля</w:t>
            </w: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38B1" w:rsidRDefault="002F38B1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304750,13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 w:rsidP="008A733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</w:t>
            </w:r>
            <w:r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(пай)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1/121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37994000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94108,21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Сержантова Г.А. 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«Культурно-развлекательный центр «Мир»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1/4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63,3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346943,31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Мешков В.А.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по обеспечению деятельности администраци</w:t>
            </w:r>
            <w:r>
              <w:rPr>
                <w:sz w:val="20"/>
                <w:szCs w:val="20"/>
              </w:rPr>
              <w:lastRenderedPageBreak/>
              <w:t>и муниципального образования Саракташский район Оренбургской области»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ЛПХ</w:t>
            </w:r>
          </w:p>
          <w:p w:rsidR="002F38B1" w:rsidRDefault="002F38B1" w:rsidP="00F41791">
            <w:pPr>
              <w:rPr>
                <w:sz w:val="20"/>
                <w:szCs w:val="20"/>
              </w:rPr>
            </w:pPr>
          </w:p>
          <w:p w:rsidR="002F38B1" w:rsidRDefault="002F38B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Приусадебный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868,22</w:t>
            </w:r>
          </w:p>
          <w:p w:rsidR="002F38B1" w:rsidRDefault="002F38B1" w:rsidP="00B611DE">
            <w:pPr>
              <w:rPr>
                <w:sz w:val="20"/>
                <w:szCs w:val="20"/>
              </w:rPr>
            </w:pPr>
          </w:p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2307,06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38B1" w:rsidRDefault="002F38B1" w:rsidP="00663B69">
            <w:pPr>
              <w:rPr>
                <w:sz w:val="20"/>
                <w:szCs w:val="20"/>
              </w:rPr>
            </w:pPr>
          </w:p>
          <w:p w:rsidR="002F38B1" w:rsidRDefault="002F38B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F38B1" w:rsidRDefault="002F38B1" w:rsidP="00CD2E22">
            <w:pPr>
              <w:rPr>
                <w:sz w:val="20"/>
                <w:szCs w:val="20"/>
              </w:rPr>
            </w:pPr>
          </w:p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A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2F38B1" w:rsidRDefault="002F38B1" w:rsidP="000A69B2">
            <w:pPr>
              <w:rPr>
                <w:sz w:val="20"/>
                <w:szCs w:val="20"/>
              </w:rPr>
            </w:pPr>
          </w:p>
          <w:p w:rsidR="002F38B1" w:rsidRDefault="002F38B1" w:rsidP="000A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38B1" w:rsidRDefault="002F38B1" w:rsidP="00CD2E22">
            <w:pPr>
              <w:rPr>
                <w:sz w:val="20"/>
                <w:szCs w:val="20"/>
              </w:rPr>
            </w:pPr>
          </w:p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2F38B1" w:rsidRPr="000A69B2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HONDACR</w:t>
            </w:r>
            <w:r w:rsidRPr="000A69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, прицеп к автомобилю </w:t>
            </w:r>
            <w:r>
              <w:rPr>
                <w:sz w:val="20"/>
                <w:szCs w:val="20"/>
              </w:rPr>
              <w:lastRenderedPageBreak/>
              <w:t>821303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619771,64</w:t>
            </w:r>
          </w:p>
        </w:tc>
        <w:tc>
          <w:tcPr>
            <w:tcW w:w="1442" w:type="dxa"/>
            <w:vAlign w:val="center"/>
          </w:tcPr>
          <w:p w:rsidR="002F38B1" w:rsidRDefault="002F38B1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F38B1" w:rsidRDefault="002F38B1" w:rsidP="00CD2E22">
            <w:pPr>
              <w:rPr>
                <w:sz w:val="20"/>
                <w:szCs w:val="20"/>
              </w:rPr>
            </w:pPr>
          </w:p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2F38B1" w:rsidRDefault="002F38B1" w:rsidP="00CD2E22">
            <w:pPr>
              <w:rPr>
                <w:sz w:val="20"/>
                <w:szCs w:val="20"/>
              </w:rPr>
            </w:pPr>
          </w:p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F38B1" w:rsidRDefault="002F38B1" w:rsidP="00CD2E22">
            <w:pPr>
              <w:rPr>
                <w:sz w:val="20"/>
                <w:szCs w:val="20"/>
              </w:rPr>
            </w:pPr>
          </w:p>
          <w:p w:rsidR="002F38B1" w:rsidRDefault="002F38B1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173829,22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F38B1" w:rsidRPr="007F46C8" w:rsidRDefault="002F38B1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2F38B1" w:rsidRPr="007F46C8" w:rsidRDefault="002F38B1">
      <w:pPr>
        <w:rPr>
          <w:sz w:val="22"/>
          <w:szCs w:val="22"/>
        </w:rPr>
      </w:pP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2F38B1" w:rsidRPr="00F90A86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2F38B1" w:rsidRDefault="002F38B1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2F38B1" w:rsidRDefault="002F38B1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2F38B1" w:rsidRPr="00572CF5" w:rsidRDefault="002F38B1" w:rsidP="00C76E1E">
      <w:pPr>
        <w:pStyle w:val="2"/>
        <w:jc w:val="center"/>
        <w:rPr>
          <w:sz w:val="24"/>
          <w:szCs w:val="24"/>
          <w:u w:val="single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2F38B1" w:rsidTr="002F38B1">
        <w:trPr>
          <w:trHeight w:val="261"/>
          <w:tblHeader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F38B1" w:rsidTr="002F38B1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Байгильдина Ф.М.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отдела – начальник бюджетного отдела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 ВАЗ-211020 Лада «Калина» 111930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669894,70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наследства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4/5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1432/22673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2267300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наследства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4/5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92194,73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Старостина Е.В.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B611DE" w:rsidRDefault="002F38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Ford-Fokus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549069,11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Паевая земельная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1100/250443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25044300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B611DE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 w:rsidP="00AD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496165,20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1/3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58,9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Тарабан Т.В.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722085,51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Лада-Приора,</w:t>
            </w:r>
          </w:p>
          <w:p w:rsidR="002F38B1" w:rsidRDefault="002F38B1">
            <w:pPr>
              <w:rPr>
                <w:sz w:val="20"/>
                <w:szCs w:val="20"/>
              </w:rPr>
            </w:pPr>
          </w:p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Лада-Гранта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311343,75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850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Туюшев С.В. </w:t>
            </w:r>
          </w:p>
        </w:tc>
        <w:tc>
          <w:tcPr>
            <w:tcW w:w="160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физической культуре, спорту и туризму администрации района 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DC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8A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1E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ВАЗ-21083; «Нива-Шевроле» 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1943941,00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Шевцова М.Н.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36716D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610771,84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долевая  ½ 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E8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90,8 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2F38B1" w:rsidRPr="0036716D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к легковым автомобилям 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314586,84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долевая  </w:t>
            </w:r>
            <w:r w:rsidRPr="00F41791">
              <w:t xml:space="preserve">½ 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>Киселев О.А.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 администрации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496796,10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 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248187,88</w:t>
            </w: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2" w:type="dxa"/>
            <w:vMerge w:val="restart"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Merge w:val="restart"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2F38B1" w:rsidRPr="00216C2E" w:rsidRDefault="002F38B1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2F38B1" w:rsidRDefault="002F38B1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</w:tbl>
    <w:p w:rsidR="002F38B1" w:rsidRPr="007F46C8" w:rsidRDefault="002F38B1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</w:t>
      </w:r>
      <w:r w:rsidRPr="007F46C8">
        <w:rPr>
          <w:sz w:val="22"/>
          <w:szCs w:val="22"/>
        </w:rPr>
        <w:lastRenderedPageBreak/>
        <w:t>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2F38B1" w:rsidRPr="007F46C8" w:rsidRDefault="002F38B1">
      <w:pPr>
        <w:rPr>
          <w:sz w:val="22"/>
          <w:szCs w:val="22"/>
        </w:rPr>
      </w:pP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2F38B1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2F38B1" w:rsidRPr="00F90A86" w:rsidRDefault="002F38B1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2F38B1" w:rsidRDefault="002F38B1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2F38B1" w:rsidRDefault="002F38B1" w:rsidP="00B1209F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2016 года по 31 декабря 2016 года</w:t>
      </w:r>
    </w:p>
    <w:p w:rsidR="002F38B1" w:rsidRPr="00B1209F" w:rsidRDefault="002F38B1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B1209F">
        <w:rPr>
          <w:sz w:val="24"/>
          <w:szCs w:val="24"/>
          <w:u w:val="single"/>
        </w:rPr>
        <w:t>председатель Контрольно-счётного органа «Счётная палата» муниципального образования Саракташский район</w:t>
      </w:r>
    </w:p>
    <w:p w:rsidR="002F38B1" w:rsidRPr="00572CF5" w:rsidRDefault="002F38B1" w:rsidP="00B1209F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/>
      </w:tblPr>
      <w:tblGrid>
        <w:gridCol w:w="1679"/>
        <w:gridCol w:w="1548"/>
        <w:gridCol w:w="1231"/>
        <w:gridCol w:w="1697"/>
        <w:gridCol w:w="998"/>
        <w:gridCol w:w="1262"/>
        <w:gridCol w:w="1434"/>
        <w:gridCol w:w="1099"/>
        <w:gridCol w:w="1154"/>
        <w:gridCol w:w="1042"/>
        <w:gridCol w:w="1466"/>
        <w:gridCol w:w="1394"/>
      </w:tblGrid>
      <w:tr w:rsidR="002F38B1" w:rsidTr="002F38B1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F38B1" w:rsidTr="002F38B1">
        <w:trPr>
          <w:trHeight w:val="87"/>
          <w:tblHeader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F38B1" w:rsidRDefault="002F38B1">
            <w:pPr>
              <w:rPr>
                <w:sz w:val="16"/>
                <w:szCs w:val="16"/>
              </w:rPr>
            </w:pPr>
          </w:p>
        </w:tc>
      </w:tr>
      <w:tr w:rsidR="002F38B1" w:rsidTr="002F38B1">
        <w:trPr>
          <w:trHeight w:val="189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Левшук Е.А.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 w:rsidP="00B12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 «Счетная плата» муниципального образования Саракташский района</w:t>
            </w:r>
          </w:p>
        </w:tc>
        <w:tc>
          <w:tcPr>
            <w:tcW w:w="12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102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Pr="001A6DCE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KIAJD</w:t>
            </w:r>
            <w:r w:rsidRPr="001A6DC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1A6DCE">
              <w:rPr>
                <w:sz w:val="20"/>
                <w:szCs w:val="20"/>
              </w:rPr>
              <w:t>)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376622,64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87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1/4 доля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38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доли 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F38B1" w:rsidRPr="00AD3C51" w:rsidRDefault="002F38B1" w:rsidP="001A6DC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автомобиль: Шевроле Нива 212300-55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1351044,79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3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2F38B1" w:rsidRPr="00AD3C5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38" w:type="dxa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274,1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272,66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F38B1" w:rsidTr="002F38B1">
        <w:trPr>
          <w:trHeight w:val="12"/>
          <w:tblCellSpacing w:w="0" w:type="dxa"/>
        </w:trPr>
        <w:tc>
          <w:tcPr>
            <w:tcW w:w="1738" w:type="dxa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</w:tc>
        <w:tc>
          <w:tcPr>
            <w:tcW w:w="11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F38B1" w:rsidRDefault="002F38B1" w:rsidP="003C0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F38B1" w:rsidRDefault="002F38B1">
            <w:pPr>
              <w:rPr>
                <w:sz w:val="20"/>
                <w:szCs w:val="20"/>
              </w:rPr>
            </w:pPr>
          </w:p>
        </w:tc>
      </w:tr>
    </w:tbl>
    <w:p w:rsidR="002F38B1" w:rsidRDefault="002F38B1" w:rsidP="00C76E1E">
      <w:pPr>
        <w:rPr>
          <w:sz w:val="22"/>
          <w:szCs w:val="22"/>
          <w:vertAlign w:val="superscript"/>
        </w:rPr>
      </w:pPr>
    </w:p>
    <w:p w:rsidR="002F38B1" w:rsidRPr="007F46C8" w:rsidRDefault="002F38B1" w:rsidP="00C76E1E">
      <w:pPr>
        <w:rPr>
          <w:sz w:val="22"/>
          <w:szCs w:val="22"/>
        </w:rPr>
      </w:pP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области,и его супруги (супруга) за три последних года, предшествующих совершению сделки. </w:t>
      </w:r>
    </w:p>
    <w:p w:rsidR="002F38B1" w:rsidRPr="007F46C8" w:rsidRDefault="002F38B1">
      <w:pPr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FC419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F38B1"/>
    <w:rsid w:val="0033018F"/>
    <w:rsid w:val="003D090D"/>
    <w:rsid w:val="004E4A62"/>
    <w:rsid w:val="00553AA0"/>
    <w:rsid w:val="00595A02"/>
    <w:rsid w:val="005C77A7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38B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F38B1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F38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F38B1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38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F38B1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2017-07-07T12:08:00Z</dcterms:modified>
</cp:coreProperties>
</file>