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 standalone="yes"?>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mc:Ignorable="w14">
  <w:body>
    <w:p>
      <w:pPr>
        <w:pStyle w:val="Обычный"/>
        <w:jc w:val="center"/>
        <w:rPr>
          <w:sz w:val="28"/>
          <w:szCs w:val="28"/>
          <w:u w:val="single"/>
        </w:rPr>
      </w:pPr>
    </w:p>
    <w:p>
      <w:pPr>
        <w:pStyle w:val="Обычный"/>
        <w:shd w:val="clear" w:color="auto" w:fill="ffffff"/>
        <w:ind w:right="47"/>
        <w:jc w:val="center"/>
        <w:rPr>
          <w:rFonts w:ascii="Times New Roman Bold" w:cs="Times New Roman Bold" w:hAnsi="Times New Roman Bold" w:eastAsia="Times New Roman Bold"/>
          <w:color w:val="000000"/>
          <w:spacing w:val="-7"/>
          <w:sz w:val="28"/>
          <w:szCs w:val="28"/>
          <w:u w:color="000000"/>
          <w:rtl w:val="0"/>
        </w:rPr>
      </w:pPr>
      <w:r>
        <w:rPr>
          <w:rFonts w:hAnsi="Times New Roman Bold" w:hint="default"/>
          <w:color w:val="000000"/>
          <w:spacing w:val="-7"/>
          <w:sz w:val="28"/>
          <w:szCs w:val="28"/>
          <w:u w:color="000000"/>
          <w:rtl w:val="0"/>
          <w:lang w:val="ru-RU"/>
        </w:rPr>
        <w:t>СВЕДЕНИЯ</w:t>
      </w:r>
    </w:p>
    <w:p>
      <w:pPr>
        <w:pStyle w:val="Обычный"/>
        <w:shd w:val="clear" w:color="auto" w:fill="ffffff"/>
        <w:jc w:val="center"/>
        <w:rPr>
          <w:color w:val="000000"/>
          <w:spacing w:val="-5"/>
          <w:sz w:val="28"/>
          <w:szCs w:val="28"/>
          <w:u w:color="000000"/>
        </w:rPr>
      </w:pPr>
      <w:r>
        <w:rPr>
          <w:rFonts w:hAnsi="Times New Roman" w:hint="default"/>
          <w:color w:val="000000"/>
          <w:spacing w:val="-5"/>
          <w:sz w:val="28"/>
          <w:szCs w:val="28"/>
          <w:u w:color="000000"/>
          <w:rtl w:val="0"/>
          <w:lang w:val="ru-RU"/>
        </w:rPr>
        <w:t>о</w:t>
      </w:r>
      <w:r>
        <w:rPr>
          <w:rFonts w:ascii="Times New Roman Bold"/>
          <w:color w:val="000000"/>
          <w:spacing w:val="-5"/>
          <w:sz w:val="28"/>
          <w:szCs w:val="28"/>
          <w:u w:color="000000"/>
          <w:rtl w:val="0"/>
          <w:lang w:val="ru-RU"/>
        </w:rPr>
        <w:t xml:space="preserve"> </w:t>
      </w:r>
      <w:r>
        <w:rPr>
          <w:rFonts w:hAnsi="Times New Roman" w:hint="default"/>
          <w:color w:val="000000"/>
          <w:spacing w:val="-5"/>
          <w:sz w:val="28"/>
          <w:szCs w:val="28"/>
          <w:u w:color="000000"/>
          <w:rtl w:val="0"/>
          <w:lang w:val="ru-RU"/>
        </w:rPr>
        <w:t>доходах</w:t>
      </w:r>
      <w:r>
        <w:rPr>
          <w:color w:val="000000"/>
          <w:spacing w:val="-5"/>
          <w:sz w:val="28"/>
          <w:szCs w:val="28"/>
          <w:u w:color="000000"/>
          <w:rtl w:val="0"/>
          <w:lang w:val="ru-RU"/>
        </w:rPr>
        <w:t xml:space="preserve">, </w:t>
      </w:r>
      <w:r>
        <w:rPr>
          <w:rFonts w:hAnsi="Times New Roman" w:hint="default"/>
          <w:color w:val="000000"/>
          <w:spacing w:val="-5"/>
          <w:sz w:val="28"/>
          <w:szCs w:val="28"/>
          <w:u w:color="000000"/>
          <w:rtl w:val="0"/>
          <w:lang w:val="ru-RU"/>
        </w:rPr>
        <w:t>имуществе и обязательствах имущественного характера</w:t>
      </w:r>
    </w:p>
    <w:p>
      <w:pPr>
        <w:pStyle w:val="Обычный"/>
        <w:jc w:val="center"/>
        <w:rPr>
          <w:sz w:val="28"/>
          <w:szCs w:val="28"/>
        </w:rPr>
      </w:pPr>
      <w:r>
        <w:rPr>
          <w:rFonts w:hAnsi="Times New Roman" w:hint="default"/>
          <w:sz w:val="28"/>
          <w:szCs w:val="28"/>
          <w:u w:val="single"/>
          <w:rtl w:val="0"/>
          <w:lang w:val="ru-RU"/>
        </w:rPr>
        <w:t>заместителя Главы администрации Максатихинскогого района</w:t>
      </w:r>
      <w:r>
        <w:rPr>
          <w:sz w:val="28"/>
          <w:szCs w:val="28"/>
          <w:u w:val="single"/>
          <w:rtl w:val="0"/>
          <w:lang w:val="ru-RU"/>
        </w:rPr>
        <w:t xml:space="preserve">, </w:t>
      </w:r>
      <w:r>
        <w:rPr>
          <w:rFonts w:hAnsi="Times New Roman" w:hint="default"/>
          <w:sz w:val="28"/>
          <w:szCs w:val="28"/>
          <w:u w:val="single"/>
          <w:rtl w:val="0"/>
          <w:lang w:val="ru-RU"/>
        </w:rPr>
        <w:t xml:space="preserve">руководителя управления аппарата </w:t>
      </w:r>
      <w:r>
        <w:rPr>
          <w:rFonts w:hAnsi="Times New Roman" w:hint="default"/>
          <w:sz w:val="28"/>
          <w:szCs w:val="28"/>
          <w:rtl w:val="0"/>
          <w:lang w:val="ru-RU"/>
        </w:rPr>
        <w:t>и членов его семьи</w:t>
      </w:r>
    </w:p>
    <w:p>
      <w:pPr>
        <w:pStyle w:val="Обычный"/>
        <w:shd w:val="clear" w:color="auto" w:fill="ffffff"/>
        <w:spacing w:line="328" w:lineRule="exact"/>
        <w:ind w:left="1753" w:right="1742" w:firstLine="0"/>
        <w:jc w:val="center"/>
        <w:rPr>
          <w:color w:val="000000"/>
          <w:spacing w:val="-4"/>
          <w:sz w:val="28"/>
          <w:szCs w:val="28"/>
          <w:u w:color="000000"/>
          <w:rtl w:val="0"/>
        </w:rPr>
      </w:pPr>
      <w:r>
        <w:rPr>
          <w:rFonts w:hAnsi="Times New Roman" w:hint="default"/>
          <w:color w:val="000000"/>
          <w:spacing w:val="-4"/>
          <w:sz w:val="28"/>
          <w:szCs w:val="28"/>
          <w:u w:color="000000"/>
          <w:rtl w:val="0"/>
          <w:lang w:val="ru-RU"/>
        </w:rPr>
        <w:t>для размещения на официальном сайте администрации Максатихинского района или предоставления средствам массовой информации для опубликования в связи с их запросами</w:t>
      </w:r>
    </w:p>
    <w:p>
      <w:pPr>
        <w:pStyle w:val="Обычный"/>
        <w:shd w:val="clear" w:color="auto" w:fill="ffffff"/>
        <w:tabs>
          <w:tab w:val="left" w:pos="5000" w:leader="underscore"/>
        </w:tabs>
        <w:spacing w:line="328" w:lineRule="exact"/>
        <w:ind w:right="54"/>
        <w:jc w:val="center"/>
        <w:rPr>
          <w:color w:val="000000"/>
          <w:spacing w:val="-4"/>
          <w:sz w:val="28"/>
          <w:szCs w:val="28"/>
          <w:u w:color="000000"/>
          <w:rtl w:val="0"/>
        </w:rPr>
      </w:pPr>
      <w:r>
        <w:rPr>
          <w:rFonts w:hAnsi="Times New Roman" w:hint="default"/>
          <w:color w:val="000000"/>
          <w:spacing w:val="-4"/>
          <w:sz w:val="28"/>
          <w:szCs w:val="28"/>
          <w:u w:color="000000"/>
          <w:rtl w:val="0"/>
          <w:lang w:val="ru-RU"/>
        </w:rPr>
        <w:t xml:space="preserve">за период с </w:t>
      </w:r>
      <w:r>
        <w:rPr>
          <w:rFonts w:ascii="Times New Roman Bold"/>
          <w:color w:val="000000"/>
          <w:spacing w:val="-4"/>
          <w:sz w:val="28"/>
          <w:szCs w:val="28"/>
          <w:u w:color="000000"/>
          <w:rtl w:val="0"/>
          <w:lang w:val="ru-RU"/>
        </w:rPr>
        <w:t xml:space="preserve">1 </w:t>
      </w:r>
      <w:r>
        <w:rPr>
          <w:rFonts w:hAnsi="Times New Roman Bold" w:hint="default"/>
          <w:color w:val="000000"/>
          <w:spacing w:val="-4"/>
          <w:sz w:val="28"/>
          <w:szCs w:val="28"/>
          <w:u w:color="000000"/>
          <w:rtl w:val="0"/>
          <w:lang w:val="ru-RU"/>
        </w:rPr>
        <w:t>января</w:t>
      </w:r>
      <w:r>
        <w:rPr>
          <w:rFonts w:hAnsi="Times New Roman" w:hint="default"/>
          <w:color w:val="000000"/>
          <w:spacing w:val="-4"/>
          <w:sz w:val="28"/>
          <w:szCs w:val="28"/>
          <w:u w:color="000000"/>
          <w:rtl w:val="0"/>
          <w:lang w:val="ru-RU"/>
        </w:rPr>
        <w:t xml:space="preserve"> по </w:t>
      </w:r>
      <w:r>
        <w:rPr>
          <w:rFonts w:ascii="Times New Roman Bold"/>
          <w:color w:val="000000"/>
          <w:spacing w:val="-4"/>
          <w:sz w:val="28"/>
          <w:szCs w:val="28"/>
          <w:u w:color="000000"/>
          <w:rtl w:val="0"/>
          <w:lang w:val="ru-RU"/>
        </w:rPr>
        <w:t xml:space="preserve">31 </w:t>
      </w:r>
      <w:r>
        <w:rPr>
          <w:rFonts w:hAnsi="Times New Roman Bold" w:hint="default"/>
          <w:color w:val="000000"/>
          <w:spacing w:val="-4"/>
          <w:sz w:val="28"/>
          <w:szCs w:val="28"/>
          <w:u w:color="000000"/>
          <w:rtl w:val="0"/>
          <w:lang w:val="ru-RU"/>
        </w:rPr>
        <w:t xml:space="preserve">декабря </w:t>
      </w:r>
      <w:r>
        <w:rPr>
          <w:rFonts w:ascii="Times New Roman Bold"/>
          <w:color w:val="000000"/>
          <w:spacing w:val="-4"/>
          <w:sz w:val="28"/>
          <w:szCs w:val="28"/>
          <w:u w:color="000000"/>
          <w:rtl w:val="0"/>
          <w:lang w:val="ru-RU"/>
        </w:rPr>
        <w:t>20</w:t>
      </w:r>
      <w:r>
        <w:rPr>
          <w:rFonts w:ascii="Times New Roman Bold"/>
          <w:color w:val="000000"/>
          <w:sz w:val="28"/>
          <w:szCs w:val="28"/>
          <w:u w:color="000000"/>
          <w:rtl w:val="0"/>
          <w:lang w:val="ru-RU"/>
        </w:rPr>
        <w:t>13</w:t>
      </w:r>
      <w:r>
        <w:rPr>
          <w:color w:val="000000"/>
          <w:sz w:val="28"/>
          <w:szCs w:val="28"/>
          <w:u w:color="000000"/>
          <w:rtl w:val="0"/>
          <w:lang w:val="ru-RU"/>
        </w:rPr>
        <w:t xml:space="preserve"> </w:t>
      </w:r>
      <w:r>
        <w:rPr>
          <w:rFonts w:hAnsi="Times New Roman" w:hint="default"/>
          <w:color w:val="000000"/>
          <w:spacing w:val="-4"/>
          <w:sz w:val="28"/>
          <w:szCs w:val="28"/>
          <w:u w:color="000000"/>
          <w:rtl w:val="0"/>
          <w:lang w:val="ru-RU"/>
        </w:rPr>
        <w:t>года</w:t>
      </w:r>
    </w:p>
    <w:p>
      <w:pPr>
        <w:pStyle w:val="Обычный"/>
        <w:jc w:val="center"/>
        <w:rPr>
          <w:sz w:val="28"/>
          <w:szCs w:val="28"/>
          <w:u w:val="single"/>
        </w:rPr>
      </w:pPr>
    </w:p>
    <w:tbl>
      <w:tblPr>
        <w:tblW w:w="15180" w:type="dxa"/>
        <w:jc w:val="center"/>
        <w:tblInd w:w="696" w:type="dxa"/>
        <w:tblBorders>
          <w:top w:val="single" w:color="000000" w:sz="2" w:space="0" w:shadow="0" w:frame="0"/>
          <w:left w:val="single" w:color="000000" w:sz="2" w:space="0" w:shadow="0" w:frame="0"/>
          <w:bottom w:val="single" w:color="000000" w:sz="2" w:space="0" w:shadow="0" w:frame="0"/>
          <w:right w:val="single" w:color="000000" w:sz="2" w:space="0" w:shadow="0" w:frame="0"/>
          <w:insideH w:val="single" w:color="000000" w:sz="2" w:space="0" w:shadow="0" w:frame="0"/>
          <w:insideV w:val="single" w:color="000000" w:sz="2" w:space="0" w:shadow="0" w:frame="0"/>
        </w:tblBorders>
        <w:shd w:val="clear" w:color="auto" w:fill="auto"/>
        <w:tblLayout w:type="fixed"/>
      </w:tblPr>
      <w:tblGrid>
        <w:gridCol w:w="1692"/>
        <w:gridCol w:w="1668"/>
        <w:gridCol w:w="2280"/>
        <w:gridCol w:w="1715"/>
        <w:gridCol w:w="1722"/>
        <w:gridCol w:w="1714"/>
        <w:gridCol w:w="1700"/>
        <w:gridCol w:w="1429"/>
        <w:gridCol w:w="1260"/>
      </w:tblGrid>
      <w:tr>
        <w:tblPrEx>
          <w:shd w:val="clear" w:color="auto" w:fill="auto"/>
        </w:tblPrEx>
        <w:trPr>
          <w:trHeight w:val="900" w:hRule="atLeast"/>
        </w:trPr>
        <w:tc>
          <w:tcPr>
            <w:tcW w:type="dxa" w:w="1692"/>
            <w:vMerge w:val="restart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668"/>
            <w:vMerge w:val="restart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Обычный"/>
              <w:jc w:val="center"/>
            </w:pPr>
            <w:r>
              <w:rPr>
                <w:rFonts w:hAnsi="Times New Roman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Деклари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-</w:t>
            </w:r>
            <w:r>
              <w:rPr>
                <w:rFonts w:hAnsi="Times New Roman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 xml:space="preserve">рованный годовой доход 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(</w:t>
            </w:r>
            <w:r>
              <w:rPr>
                <w:rFonts w:hAnsi="Times New Roman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руб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.)</w:t>
            </w:r>
          </w:p>
        </w:tc>
        <w:tc>
          <w:tcPr>
            <w:tcW w:type="dxa" w:w="7431"/>
            <w:gridSpan w:val="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Обычный"/>
              <w:jc w:val="center"/>
            </w:pPr>
            <w:r>
              <w:rPr>
                <w:rFonts w:hAnsi="Times New Roman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-4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 xml:space="preserve">Перечень объектов недвижимого имущества и </w:t>
            </w:r>
            <w:r>
              <w:rPr>
                <w:rFonts w:hAnsi="Times New Roman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-6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транспортных средств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-6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 xml:space="preserve">, </w:t>
            </w:r>
            <w:r>
              <w:rPr>
                <w:rFonts w:hAnsi="Times New Roman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-6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 xml:space="preserve">принадлежащих на праве </w:t>
            </w:r>
            <w:r>
              <w:rPr>
                <w:rFonts w:hAnsi="Times New Roman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-4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собственности</w:t>
            </w:r>
          </w:p>
        </w:tc>
        <w:tc>
          <w:tcPr>
            <w:tcW w:type="dxa" w:w="4389"/>
            <w:gridSpan w:val="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Обычный"/>
              <w:jc w:val="center"/>
            </w:pPr>
            <w:r>
              <w:rPr>
                <w:rFonts w:hAnsi="Times New Roman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-4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 xml:space="preserve">Перечень объектов недвижимого </w:t>
            </w:r>
            <w:r>
              <w:rPr>
                <w:rFonts w:hAnsi="Times New Roman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-2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имущества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-2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 xml:space="preserve">, </w:t>
            </w:r>
            <w:r>
              <w:rPr>
                <w:rFonts w:hAnsi="Times New Roman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-2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 xml:space="preserve">находящихся в </w:t>
            </w:r>
            <w:r>
              <w:rPr>
                <w:rFonts w:hAnsi="Times New Roman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-3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пользовании</w:t>
            </w:r>
          </w:p>
        </w:tc>
      </w:tr>
      <w:tr>
        <w:tblPrEx>
          <w:shd w:val="clear" w:color="auto" w:fill="auto"/>
        </w:tblPrEx>
        <w:trPr>
          <w:trHeight w:val="900" w:hRule="atLeast"/>
        </w:trPr>
        <w:tc>
          <w:tcPr>
            <w:tcW w:type="dxa" w:w="1692"/>
            <w:vMerge w:val="continue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</w:tcPr>
          <w:p/>
        </w:tc>
        <w:tc>
          <w:tcPr>
            <w:tcW w:type="dxa" w:w="1668"/>
            <w:vMerge w:val="continue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</w:tcPr>
          <w:p/>
        </w:tc>
        <w:tc>
          <w:tcPr>
            <w:tcW w:type="dxa" w:w="228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105"/>
            </w:tcMar>
            <w:vAlign w:val="top"/>
          </w:tcPr>
          <w:p>
            <w:pPr>
              <w:pStyle w:val="Обычный"/>
              <w:shd w:val="clear" w:color="auto" w:fill="ffffff"/>
              <w:ind w:right="25"/>
              <w:jc w:val="center"/>
            </w:pPr>
            <w:r>
              <w:rPr>
                <w:rFonts w:hAnsi="Times New Roman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-6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 xml:space="preserve">Вид объектов </w:t>
            </w:r>
            <w:r>
              <w:rPr>
                <w:rFonts w:hAnsi="Times New Roman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-9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недвижимости</w:t>
            </w:r>
          </w:p>
        </w:tc>
        <w:tc>
          <w:tcPr>
            <w:tcW w:type="dxa" w:w="171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102"/>
            </w:tcMar>
            <w:vAlign w:val="top"/>
          </w:tcPr>
          <w:p>
            <w:pPr>
              <w:pStyle w:val="Обычный"/>
              <w:shd w:val="clear" w:color="auto" w:fill="ffffff"/>
              <w:ind w:right="22"/>
              <w:jc w:val="center"/>
            </w:pPr>
            <w:r>
              <w:rPr>
                <w:rFonts w:hAnsi="Times New Roman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-9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 xml:space="preserve">Площадь 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-6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(</w:t>
            </w:r>
            <w:r>
              <w:rPr>
                <w:rFonts w:hAnsi="Times New Roman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-6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кв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-6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.</w:t>
            </w:r>
            <w:r>
              <w:rPr>
                <w:rFonts w:hAnsi="Times New Roman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-6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м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-6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)</w:t>
            </w:r>
          </w:p>
        </w:tc>
        <w:tc>
          <w:tcPr>
            <w:tcW w:type="dxa" w:w="172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98"/>
            </w:tcMar>
            <w:vAlign w:val="top"/>
          </w:tcPr>
          <w:p>
            <w:pPr>
              <w:pStyle w:val="Обычный"/>
              <w:shd w:val="clear" w:color="auto" w:fill="ffffff"/>
              <w:ind w:right="18"/>
              <w:jc w:val="center"/>
            </w:pPr>
            <w:r>
              <w:rPr>
                <w:rFonts w:hAnsi="Times New Roman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-4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 xml:space="preserve">Страна </w:t>
            </w:r>
            <w:r>
              <w:rPr>
                <w:rFonts w:hAnsi="Times New Roman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-5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расположе</w:t>
            </w:r>
            <w:r>
              <w:rPr>
                <w:rFonts w:hAnsi="Times New Roman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-8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ния</w:t>
            </w:r>
          </w:p>
        </w:tc>
        <w:tc>
          <w:tcPr>
            <w:tcW w:type="dxa" w:w="171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91"/>
            </w:tcMar>
            <w:vAlign w:val="top"/>
          </w:tcPr>
          <w:p>
            <w:pPr>
              <w:pStyle w:val="Обычный"/>
              <w:shd w:val="clear" w:color="auto" w:fill="ffffff"/>
              <w:ind w:right="11"/>
              <w:jc w:val="center"/>
            </w:pPr>
            <w:r>
              <w:rPr>
                <w:rFonts w:hAnsi="Times New Roman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-4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Транспортные средства</w:t>
            </w:r>
          </w:p>
        </w:tc>
        <w:tc>
          <w:tcPr>
            <w:tcW w:type="dxa" w:w="170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116"/>
            </w:tcMar>
            <w:vAlign w:val="top"/>
          </w:tcPr>
          <w:p>
            <w:pPr>
              <w:pStyle w:val="Обычный"/>
              <w:shd w:val="clear" w:color="auto" w:fill="ffffff"/>
              <w:ind w:right="36"/>
              <w:jc w:val="center"/>
            </w:pPr>
            <w:r>
              <w:rPr>
                <w:rFonts w:hAnsi="Times New Roman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-3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 xml:space="preserve">Вид объектов </w:t>
            </w:r>
            <w:r>
              <w:rPr>
                <w:rFonts w:hAnsi="Times New Roman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-5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недвижимости</w:t>
            </w:r>
          </w:p>
        </w:tc>
        <w:tc>
          <w:tcPr>
            <w:tcW w:type="dxa" w:w="142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120"/>
            </w:tcMar>
            <w:vAlign w:val="top"/>
          </w:tcPr>
          <w:p>
            <w:pPr>
              <w:pStyle w:val="Обычный"/>
              <w:shd w:val="clear" w:color="auto" w:fill="ffffff"/>
              <w:ind w:right="40"/>
              <w:jc w:val="center"/>
            </w:pPr>
            <w:r>
              <w:rPr>
                <w:rFonts w:hAnsi="Times New Roman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-6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 xml:space="preserve">Площадь 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-4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(</w:t>
            </w:r>
            <w:r>
              <w:rPr>
                <w:rFonts w:hAnsi="Times New Roman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-4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кв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-4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.</w:t>
            </w:r>
            <w:r>
              <w:rPr>
                <w:rFonts w:hAnsi="Times New Roman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-4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м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-4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)</w:t>
            </w:r>
          </w:p>
        </w:tc>
        <w:tc>
          <w:tcPr>
            <w:tcW w:type="dxa" w:w="126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163"/>
            </w:tcMar>
            <w:vAlign w:val="top"/>
          </w:tcPr>
          <w:p>
            <w:pPr>
              <w:pStyle w:val="Обычный"/>
              <w:shd w:val="clear" w:color="auto" w:fill="ffffff"/>
              <w:ind w:right="83"/>
              <w:jc w:val="center"/>
            </w:pPr>
            <w:r>
              <w:rPr>
                <w:rFonts w:hAnsi="Times New Roman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-5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 xml:space="preserve">Страна </w:t>
            </w:r>
            <w:r>
              <w:rPr>
                <w:rFonts w:hAnsi="Times New Roman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-6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располо</w:t>
            </w:r>
            <w:r>
              <w:rPr>
                <w:rFonts w:hAnsi="Times New Roman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-7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softHyphen/>
              <w:t>жения</w:t>
            </w:r>
          </w:p>
        </w:tc>
      </w:tr>
      <w:tr>
        <w:tblPrEx>
          <w:shd w:val="clear" w:color="auto" w:fill="auto"/>
        </w:tblPrEx>
        <w:trPr>
          <w:trHeight w:val="900" w:hRule="atLeast"/>
        </w:trPr>
        <w:tc>
          <w:tcPr>
            <w:tcW w:type="dxa" w:w="169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Обычный"/>
              <w:jc w:val="both"/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</w:pPr>
            <w:r>
              <w:rPr>
                <w:rFonts w:hAnsi="Times New Roman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Ильина</w:t>
            </w:r>
          </w:p>
          <w:p>
            <w:pPr>
              <w:pStyle w:val="Обычный"/>
              <w:jc w:val="both"/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</w:pPr>
            <w:r>
              <w:rPr>
                <w:rFonts w:hAnsi="Times New Roman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Елена</w:t>
            </w:r>
          </w:p>
          <w:p>
            <w:pPr>
              <w:pStyle w:val="Обычный"/>
              <w:jc w:val="both"/>
            </w:pPr>
            <w:r>
              <w:rPr>
                <w:rFonts w:hAnsi="Times New Roman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Павловна</w:t>
            </w:r>
          </w:p>
        </w:tc>
        <w:tc>
          <w:tcPr>
            <w:tcW w:type="dxa" w:w="166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Обычный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537128.58</w:t>
            </w:r>
          </w:p>
        </w:tc>
        <w:tc>
          <w:tcPr>
            <w:tcW w:type="dxa" w:w="228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Обычный"/>
              <w:jc w:val="center"/>
            </w:pPr>
            <w:r>
              <w:rPr>
                <w:rFonts w:hAnsi="Times New Roman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квартира</w:t>
            </w:r>
          </w:p>
        </w:tc>
        <w:tc>
          <w:tcPr>
            <w:tcW w:type="dxa" w:w="171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Обычный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69.4</w:t>
            </w:r>
          </w:p>
        </w:tc>
        <w:tc>
          <w:tcPr>
            <w:tcW w:type="dxa" w:w="172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Обычный"/>
              <w:jc w:val="center"/>
            </w:pPr>
            <w:r>
              <w:rPr>
                <w:rFonts w:hAnsi="Times New Roman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Россия</w:t>
            </w:r>
          </w:p>
        </w:tc>
        <w:tc>
          <w:tcPr>
            <w:tcW w:type="dxa" w:w="171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Обычный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-</w:t>
            </w:r>
          </w:p>
        </w:tc>
        <w:tc>
          <w:tcPr>
            <w:tcW w:type="dxa" w:w="170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Обычный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-</w:t>
            </w:r>
          </w:p>
        </w:tc>
        <w:tc>
          <w:tcPr>
            <w:tcW w:type="dxa" w:w="142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Обычный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-</w:t>
            </w:r>
          </w:p>
        </w:tc>
        <w:tc>
          <w:tcPr>
            <w:tcW w:type="dxa" w:w="126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Обычный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-</w:t>
            </w:r>
          </w:p>
        </w:tc>
      </w:tr>
      <w:tr>
        <w:tblPrEx>
          <w:shd w:val="clear" w:color="auto" w:fill="auto"/>
        </w:tblPrEx>
        <w:trPr>
          <w:trHeight w:val="300" w:hRule="atLeast"/>
        </w:trPr>
        <w:tc>
          <w:tcPr>
            <w:tcW w:type="dxa" w:w="1692"/>
            <w:vMerge w:val="restart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Обычный"/>
              <w:jc w:val="both"/>
            </w:pPr>
            <w:r>
              <w:rPr>
                <w:rFonts w:hAnsi="Times New Roman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Супруг</w:t>
            </w:r>
          </w:p>
        </w:tc>
        <w:tc>
          <w:tcPr>
            <w:tcW w:type="dxa" w:w="1668"/>
            <w:vMerge w:val="restart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Обычный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683496.23</w:t>
            </w:r>
          </w:p>
        </w:tc>
        <w:tc>
          <w:tcPr>
            <w:tcW w:type="dxa" w:w="228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Обычный"/>
              <w:jc w:val="center"/>
            </w:pPr>
            <w:r>
              <w:rPr>
                <w:rFonts w:hAnsi="Times New Roman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квартира</w:t>
            </w:r>
          </w:p>
        </w:tc>
        <w:tc>
          <w:tcPr>
            <w:tcW w:type="dxa" w:w="171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Обычный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69.4</w:t>
            </w:r>
          </w:p>
        </w:tc>
        <w:tc>
          <w:tcPr>
            <w:tcW w:type="dxa" w:w="172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Обычный"/>
              <w:jc w:val="center"/>
            </w:pPr>
            <w:r>
              <w:rPr>
                <w:rFonts w:hAnsi="Times New Roman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Россия</w:t>
            </w:r>
          </w:p>
        </w:tc>
        <w:tc>
          <w:tcPr>
            <w:tcW w:type="dxa" w:w="171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Обычный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-</w:t>
            </w:r>
          </w:p>
        </w:tc>
        <w:tc>
          <w:tcPr>
            <w:tcW w:type="dxa" w:w="170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Обычный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-</w:t>
            </w:r>
          </w:p>
        </w:tc>
        <w:tc>
          <w:tcPr>
            <w:tcW w:type="dxa" w:w="142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Обычный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-</w:t>
            </w:r>
          </w:p>
        </w:tc>
        <w:tc>
          <w:tcPr>
            <w:tcW w:type="dxa" w:w="126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Обычный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-</w:t>
            </w:r>
          </w:p>
        </w:tc>
      </w:tr>
      <w:tr>
        <w:tblPrEx>
          <w:shd w:val="clear" w:color="auto" w:fill="auto"/>
        </w:tblPrEx>
        <w:trPr>
          <w:trHeight w:val="300" w:hRule="atLeast"/>
        </w:trPr>
        <w:tc>
          <w:tcPr>
            <w:tcW w:type="dxa" w:w="1692"/>
            <w:vMerge w:val="continue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</w:tcPr>
          <w:p/>
        </w:tc>
        <w:tc>
          <w:tcPr>
            <w:tcW w:type="dxa" w:w="1668"/>
            <w:vMerge w:val="continue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</w:tcPr>
          <w:p/>
        </w:tc>
        <w:tc>
          <w:tcPr>
            <w:tcW w:type="dxa" w:w="228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Обычный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-</w:t>
            </w:r>
          </w:p>
        </w:tc>
        <w:tc>
          <w:tcPr>
            <w:tcW w:type="dxa" w:w="171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Обычный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-</w:t>
            </w:r>
          </w:p>
        </w:tc>
        <w:tc>
          <w:tcPr>
            <w:tcW w:type="dxa" w:w="172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Обычный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-</w:t>
            </w:r>
          </w:p>
        </w:tc>
        <w:tc>
          <w:tcPr>
            <w:tcW w:type="dxa" w:w="171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Обычный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-</w:t>
            </w:r>
          </w:p>
        </w:tc>
        <w:tc>
          <w:tcPr>
            <w:tcW w:type="dxa" w:w="170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Обычный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-</w:t>
            </w:r>
          </w:p>
        </w:tc>
        <w:tc>
          <w:tcPr>
            <w:tcW w:type="dxa" w:w="142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Обычный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-</w:t>
            </w:r>
          </w:p>
        </w:tc>
        <w:tc>
          <w:tcPr>
            <w:tcW w:type="dxa" w:w="126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Обычный"/>
              <w:jc w:val="center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-</w:t>
            </w:r>
          </w:p>
        </w:tc>
      </w:tr>
    </w:tbl>
    <w:p>
      <w:pPr>
        <w:pStyle w:val="Обычный"/>
        <w:ind w:left="588" w:hanging="588"/>
        <w:jc w:val="center"/>
        <w:rPr>
          <w:sz w:val="28"/>
          <w:szCs w:val="28"/>
          <w:u w:val="single"/>
        </w:rPr>
      </w:pPr>
    </w:p>
    <w:p>
      <w:pPr>
        <w:pStyle w:val="Обычный"/>
        <w:jc w:val="center"/>
        <w:rPr>
          <w:sz w:val="28"/>
          <w:szCs w:val="28"/>
          <w:u w:val="single"/>
        </w:rPr>
      </w:pPr>
    </w:p>
    <w:p>
      <w:pPr>
        <w:pStyle w:val="Обычный"/>
        <w:shd w:val="clear" w:color="auto" w:fill="ffffff"/>
        <w:jc w:val="center"/>
        <w:rPr>
          <w:sz w:val="28"/>
          <w:szCs w:val="28"/>
          <w:u w:val="single"/>
        </w:rPr>
      </w:pPr>
    </w:p>
    <w:p>
      <w:pPr>
        <w:pStyle w:val="Обычный"/>
        <w:shd w:val="clear" w:color="auto" w:fill="ffffff"/>
        <w:jc w:val="center"/>
      </w:pPr>
      <w:r>
        <w:rPr>
          <w:sz w:val="28"/>
          <w:szCs w:val="28"/>
          <w:u w:val="single"/>
        </w:rPr>
      </w:r>
    </w:p>
    <w:sectPr>
      <w:headerReference w:type="default" r:id="rId4"/>
      <w:footerReference w:type="default" r:id="rId5"/>
      <w:pgSz w:w="16840" w:h="11900" w:orient="landscape"/>
      <w:pgMar w:top="899" w:right="1134" w:bottom="851" w:left="720" w:header="709" w:footer="709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Helvetica">
    <w:charset w:val="00"/>
    <w:family w:val="roman"/>
    <w:pitch w:val="default"/>
  </w:font>
  <w:font w:name="Times New Roman Bold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mc:Ignorable="w14">
  <w:p>
    <w:pPr>
      <w:pStyle w:val="Колонтитулы"/>
      <w:bidi w:val="0"/>
    </w:pPr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mc:Ignorable="w14">
  <w:p>
    <w:pPr>
      <w:pStyle w:val="Колонтитулы"/>
      <w:bidi w:val="0"/>
    </w:pPr>
    <w:r/>
  </w:p>
</w:hdr>
</file>

<file path=word/settings.xml><?xml version="1.0" encoding="utf-8"?>
<w:settings xmlns:w="http://schemas.openxmlformats.org/wordprocessingml/2006/main">
  <w:view w:val="print"/>
  <w:mirrorMargins w:val="0"/>
  <w:bordersDoNotSurroundHeader w:val="0"/>
  <w:bordersDoNotSurroundFooter w:val="0"/>
  <w:revisionView w:markup="1" w:comments="1" w:insDel="1" w:formatting="0"/>
  <w:defaultTabStop w:val="708"/>
  <w:autoHyphenation w:val="0"/>
  <w:evenAndOddHeaders w:val="0"/>
  <w:bookFoldPrinting w:val="0"/>
  <w:noLineBreaksAfter w:lang="" w:val="‘“(〔[{〈《「『【⦅〘〖«〝︵︷︹︻︽︿﹁﹃﹇﹙﹛﹝｢"/>
  <w:noLineBreaksBefore w:lang="" w:val="’”)〕]}〉"/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Колонтитулы">
    <w:name w:val="Колонтитулы"/>
    <w:next w:val="Колонтитулы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" w:cs="Arial Unicode MS" w:hAnsi="Arial Unicode MS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vertAlign w:val="baseline"/>
    </w:rPr>
  </w:style>
  <w:style w:type="paragraph" w:styleId="Обычный">
    <w:name w:val="Обычный"/>
    <w:next w:val="Обычный"/>
    <w:pPr>
      <w:keepNext w:val="0"/>
      <w:keepLines w:val="0"/>
      <w:pageBreakBefore w:val="0"/>
      <w:widowControl w:val="0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Times New Roman" w:cs="Arial Unicode MS" w:hAnsi="Arial Unicode MS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0"/>
      <w:szCs w:val="20"/>
      <w:u w:val="none" w:color="000000"/>
      <w:vertAlign w:val="baseline"/>
      <w:lang w:val="ru-RU"/>
    </w:rPr>
  </w:style>
</w:style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theme" Target="theme/theme1.xml"/></Relationships>

</file>

<file path=word/theme/_rels/theme1.xml.rels><?xml version="1.0" encoding="UTF-8" standalone="yes"?><Relationships xmlns="http://schemas.openxmlformats.org/package/2006/relationships"><Relationship Id="rId1" Type="http://schemas.openxmlformats.org/officeDocument/2006/relationships/image" Target="../media/image1.png"/></Relationships>

</file>

<file path=word/theme/theme1.xml><?xml version="1.0" encoding="utf-8"?>
<a:theme xmlns:a="http://schemas.openxmlformats.org/drawingml/2006/main" xmlns:r="http://schemas.openxmlformats.org/officeDocument/2006/relationships" name="Blank">
  <a:themeElements>
    <a:clrScheme name="Blank">
      <a:dk1>
        <a:srgbClr val="000000"/>
      </a:dk1>
      <a:lt1>
        <a:srgbClr val="FFFFFF"/>
      </a:lt1>
      <a:dk2>
        <a:srgbClr val="404040"/>
      </a:dk2>
      <a:lt2>
        <a:srgbClr val="BFBFBF"/>
      </a:lt2>
      <a:accent1>
        <a:srgbClr val="499BC9"/>
      </a:accent1>
      <a:accent2>
        <a:srgbClr val="6EC038"/>
      </a:accent2>
      <a:accent3>
        <a:srgbClr val="F1D130"/>
      </a:accent3>
      <a:accent4>
        <a:srgbClr val="FFA93A"/>
      </a:accent4>
      <a:accent5>
        <a:srgbClr val="FF2D21"/>
      </a:accent5>
      <a:accent6>
        <a:srgbClr val="6C2085"/>
      </a:accent6>
      <a:hlink>
        <a:srgbClr val="0000FF"/>
      </a:hlink>
      <a:folHlink>
        <a:srgbClr val="FF00FF"/>
      </a:folHlink>
    </a:clrScheme>
    <a:fontScheme name="Blank">
      <a:majorFont>
        <a:latin typeface="Helvetica"/>
        <a:ea typeface="Helvetica"/>
        <a:cs typeface="Helvetica"/>
      </a:majorFont>
      <a:minorFont>
        <a:latin typeface="Helvetica"/>
        <a:ea typeface="Helvetica"/>
        <a:cs typeface="Helvetic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sx="100000" sy="100000" kx="0" ky="0" algn="b" rotWithShape="0" blurRad="38100" dist="25400" dir="5400000">
              <a:srgbClr val="000000">
                <a:alpha val="50000"/>
              </a:srgbClr>
            </a:outerShdw>
          </a:effectLst>
        </a:effectStyle>
        <a:effectStyle>
          <a:effectLst>
            <a:outerShdw sx="100000" sy="100000" kx="0" ky="0" algn="b" rotWithShape="0" blurRad="38100" dist="25400" dir="5400000">
              <a:srgbClr val="000000">
                <a:alpha val="50000"/>
              </a:srgbClr>
            </a:outerShdw>
          </a:effectLst>
        </a:effectStyle>
        <a:effectStyle>
          <a:effectLst>
            <a:outerShdw sx="100000" sy="100000" kx="0" ky="0" algn="b" rotWithShape="0" blurRad="38100" dist="25400" dir="5400000">
              <a:srgbClr val="000000">
                <a:alpha val="50000"/>
              </a:srgbClr>
            </a:outerShdw>
          </a:effectLst>
        </a:effectStyle>
        <a:effectStyle>
          <a:effectLst>
            <a:outerShdw sx="100000" sy="100000" kx="0" ky="0" algn="b" rotWithShape="0" blurRad="40000" dist="20000" dir="5400000">
              <a:srgbClr val="000000">
                <a:alpha val="38000"/>
              </a:srgbClr>
            </a:outerShdw>
          </a:effectLst>
        </a:effectStyle>
        <a:effectStyle>
          <a:effectLst>
            <a:outerShdw sx="100000" sy="100000" kx="0" ky="0" algn="b" rotWithShape="0" blurRad="40000" dist="23000" dir="5400000">
              <a:srgbClr val="000000">
                <a:alpha val="35000"/>
              </a:srgbClr>
            </a:outerShdw>
          </a:effectLst>
        </a:effectStyle>
        <a:effectStyle>
          <a:effectLst>
            <a:outerShdw sx="100000" sy="100000" kx="0" ky="0" algn="b" rotWithShape="0" blurRad="40000" dist="23000" dir="540000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blipFill rotWithShape="1">
          <a:blip r:embed="rId1"/>
          <a:srcRect l="0" t="0" r="0" b="0"/>
          <a:tile tx="0" ty="0" sx="100000" sy="100000" flip="none" algn="tl"/>
        </a:blipFill>
        <a:ln w="12700" cap="flat">
          <a:noFill/>
          <a:miter lim="400000"/>
        </a:ln>
        <a:effectLst>
          <a:outerShdw sx="100000" sy="100000" kx="0" ky="0" algn="b" rotWithShape="0" blurRad="38100" dist="25400" dir="5400000">
            <a:srgbClr val="000000">
              <a:alpha val="50000"/>
            </a:srgbClr>
          </a:outerShdw>
        </a:effectLst>
      </a:spPr>
      <a:bodyPr rot="0" spcFirstLastPara="1" vertOverflow="overflow" horzOverflow="overflow" vert="horz" wrap="square" lIns="50800" tIns="50800" rIns="50800" bIns="50800" numCol="1" spcCol="38100" rtlCol="0" anchor="ctr" upright="0">
        <a:spAutoFit/>
      </a:bodyPr>
      <a:lstStyle>
        <a:defPPr marL="0" marR="0" indent="0" algn="ctr" defTabSz="4572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200" u="none" kumimoji="0" normalizeH="0">
            <a:ln>
              <a:noFill/>
            </a:ln>
            <a:solidFill>
              <a:srgbClr val="FFFFFF"/>
            </a:solidFill>
            <a:effectLst>
              <a:outerShdw sx="100000" sy="100000" kx="0" ky="0" algn="b" rotWithShape="0" blurRad="25400" dist="23998" dir="2700000">
                <a:srgbClr val="000000">
                  <a:alpha val="31034"/>
                </a:srgbClr>
              </a:outerShdw>
            </a:effectLst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6350" cap="flat">
          <a:solidFill>
            <a:srgbClr val="000000"/>
          </a:solidFill>
          <a:prstDash val="solid"/>
          <a:miter lim="400000"/>
        </a:ln>
        <a:effectLst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</a:spPr>
      <a:bodyPr rot="0" spcFirstLastPara="1" vertOverflow="overflow" horzOverflow="overflow" vert="horz" wrap="square" lIns="50800" tIns="50800" rIns="50800" bIns="50800" numCol="1" spcCol="38100" rtlCol="0" anchor="t" upright="0">
        <a:spAutoFit/>
      </a:bodyPr>
      <a:lstStyle>
        <a:defPPr marL="0" marR="0" indent="0" algn="l" defTabSz="4572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1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