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1A" w:rsidRDefault="000D151A" w:rsidP="000D151A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t>Сведения о доходах за 2011 год</w:t>
      </w:r>
    </w:p>
    <w:p w:rsidR="000D151A" w:rsidRDefault="000D151A" w:rsidP="000D151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</w:t>
      </w:r>
    </w:p>
    <w:tbl>
      <w:tblPr>
        <w:tblW w:w="14355" w:type="dxa"/>
        <w:tblCellMar>
          <w:left w:w="0" w:type="dxa"/>
          <w:right w:w="0" w:type="dxa"/>
        </w:tblCellMar>
        <w:tblLook w:val="04A0"/>
      </w:tblPr>
      <w:tblGrid>
        <w:gridCol w:w="680"/>
        <w:gridCol w:w="13675"/>
      </w:tblGrid>
      <w:tr w:rsidR="000D151A" w:rsidTr="000D151A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151A" w:rsidRDefault="000D151A">
            <w:pPr>
              <w:pStyle w:val="a3"/>
              <w:spacing w:before="0" w:beforeAutospacing="0" w:after="240" w:afterAutospacing="0"/>
              <w:textAlignment w:val="baseline"/>
            </w:pPr>
            <w:r>
              <w:t>·            </w:t>
            </w:r>
          </w:p>
        </w:tc>
        <w:tc>
          <w:tcPr>
            <w:tcW w:w="13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151A" w:rsidRDefault="000D151A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0D151A" w:rsidRDefault="000D151A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Сведения о доходах, имуществе и обязательствах имущественного характера</w:t>
            </w:r>
          </w:p>
          <w:p w:rsidR="000D151A" w:rsidRDefault="000D151A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председателя Собрания представителей муниципального района Исаклинский и членов его семьи за период</w:t>
            </w:r>
          </w:p>
          <w:p w:rsidR="000D151A" w:rsidRDefault="000D151A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 1 января по 31 декабря 2011 года</w:t>
            </w:r>
          </w:p>
          <w:p w:rsidR="000D151A" w:rsidRDefault="000D151A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999"/>
              <w:gridCol w:w="978"/>
              <w:gridCol w:w="1907"/>
              <w:gridCol w:w="1052"/>
              <w:gridCol w:w="1577"/>
              <w:gridCol w:w="1615"/>
              <w:gridCol w:w="1907"/>
              <w:gridCol w:w="1052"/>
              <w:gridCol w:w="1588"/>
            </w:tblGrid>
            <w:tr w:rsidR="000D151A">
              <w:tc>
                <w:tcPr>
                  <w:tcW w:w="20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Фамилия, имя, отчество лица, замещающего соответствующую должность.</w:t>
                  </w:r>
                </w:p>
                <w:p w:rsidR="000D151A" w:rsidRDefault="000D151A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Члены его семьи.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Годовой доход за 2011 г. (руб.)</w:t>
                  </w:r>
                </w:p>
              </w:tc>
              <w:tc>
                <w:tcPr>
                  <w:tcW w:w="633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Перечень объектов недвижимого имущества, находящихся в пользовании</w:t>
                  </w:r>
                </w:p>
              </w:tc>
            </w:tr>
            <w:tr w:rsidR="000D151A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Площадь (кв.м)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Страна расположения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Транспортные средства (вид, марка)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Площадь (кв.м)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Страна расположения</w:t>
                  </w:r>
                </w:p>
              </w:tc>
            </w:tr>
            <w:tr w:rsidR="000D151A"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Маслов Владимир Михайлович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496713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Индивидуальный жилой дом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84,10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-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Индивидуальный жилой дом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84,10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</w:tr>
            <w:tr w:rsidR="000D151A"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Приусадебный участок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1300.00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Приусадебный участок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1300.00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</w:tr>
            <w:tr w:rsidR="000D151A">
              <w:tc>
                <w:tcPr>
                  <w:tcW w:w="20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Супруга – Маслова Нина Радиславовна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180000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63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9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</w:tr>
            <w:tr w:rsidR="000D151A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-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-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151A" w:rsidRDefault="000D151A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D151A" w:rsidRDefault="000D15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D151A" w:rsidRDefault="000D15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D151A" w:rsidRDefault="000D15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D151A" w:rsidRDefault="000D151A">
                  <w:pPr>
                    <w:rPr>
                      <w:szCs w:val="24"/>
                    </w:rPr>
                  </w:pPr>
                </w:p>
              </w:tc>
            </w:tr>
          </w:tbl>
          <w:p w:rsidR="000D151A" w:rsidRDefault="000D151A">
            <w:pPr>
              <w:rPr>
                <w:szCs w:val="24"/>
              </w:rPr>
            </w:pPr>
          </w:p>
        </w:tc>
      </w:tr>
    </w:tbl>
    <w:p w:rsidR="000D151A" w:rsidRDefault="000D151A" w:rsidP="000D151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</w:t>
      </w:r>
    </w:p>
    <w:p w:rsidR="000D151A" w:rsidRDefault="000D151A" w:rsidP="000D151A">
      <w:pPr>
        <w:shd w:val="clear" w:color="auto" w:fill="FFFFFF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27 апреля 2012 г. </w:t>
      </w:r>
      <w:r>
        <w:rPr>
          <w:rFonts w:ascii="Arial" w:hAnsi="Arial" w:cs="Arial"/>
          <w:color w:val="666666"/>
        </w:rPr>
        <w:br/>
        <w:t>Дата изменения: 28 апреля 2012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151A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2018-08-24T05:54:00Z</dcterms:modified>
</cp:coreProperties>
</file>