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A8" w:rsidRPr="004E57A8" w:rsidRDefault="004E57A8" w:rsidP="004E57A8">
      <w:pPr>
        <w:shd w:val="clear" w:color="auto" w:fill="FFFFFF"/>
        <w:spacing w:after="0" w:line="240" w:lineRule="auto"/>
        <w:contextualSpacing/>
        <w:rPr>
          <w:rFonts w:ascii="Arial" w:hAnsi="Arial" w:cs="Arial"/>
          <w:szCs w:val="24"/>
          <w:lang w:eastAsia="ru-RU"/>
        </w:rPr>
      </w:pPr>
      <w:r w:rsidRPr="004E57A8">
        <w:rPr>
          <w:rFonts w:ascii="Arial" w:hAnsi="Arial" w:cs="Arial"/>
          <w:szCs w:val="24"/>
        </w:rPr>
        <w:t>Краснянский Михаил Николаевич</w:t>
      </w:r>
    </w:p>
    <w:p w:rsidR="004E57A8" w:rsidRPr="004E57A8" w:rsidRDefault="004E57A8" w:rsidP="004E57A8">
      <w:pPr>
        <w:spacing w:after="0" w:line="240" w:lineRule="auto"/>
        <w:contextualSpacing/>
        <w:rPr>
          <w:rFonts w:ascii="Arial" w:hAnsi="Arial" w:cs="Arial"/>
          <w:szCs w:val="24"/>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2265"/>
        <w:gridCol w:w="13589"/>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hAnsi="Arial" w:cs="Arial"/>
                <w:szCs w:val="24"/>
              </w:rPr>
            </w:pPr>
            <w:r w:rsidRPr="004E57A8">
              <w:rPr>
                <w:rFonts w:ascii="Arial" w:hAnsi="Arial" w:cs="Arial"/>
                <w:noProof/>
                <w:szCs w:val="24"/>
                <w:lang w:eastAsia="ru-RU"/>
              </w:rPr>
              <w:drawing>
                <wp:inline distT="0" distB="0" distL="0" distR="0">
                  <wp:extent cx="1353104" cy="2026926"/>
                  <wp:effectExtent l="0" t="0" r="0" b="0"/>
                  <wp:docPr id="1" name="Рисунок 1" descr="https://www.tstu.ru/managment/rektor/img/r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stu.ru/managment/rektor/img/rect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62" cy="2040344"/>
                          </a:xfrm>
                          <a:prstGeom prst="rect">
                            <a:avLst/>
                          </a:prstGeom>
                          <a:noFill/>
                          <a:ln>
                            <a:noFill/>
                          </a:ln>
                        </pic:spPr>
                      </pic:pic>
                    </a:graphicData>
                  </a:graphic>
                </wp:inline>
              </w:drawing>
            </w:r>
          </w:p>
          <w:p w:rsidR="00D95C2B" w:rsidRPr="004E57A8" w:rsidRDefault="00D95C2B" w:rsidP="00D95C2B">
            <w:pPr>
              <w:spacing w:after="0" w:line="240" w:lineRule="auto"/>
              <w:contextualSpacing/>
              <w:rPr>
                <w:rFonts w:ascii="Arial" w:hAnsi="Arial" w:cs="Arial"/>
                <w:szCs w:val="24"/>
              </w:rPr>
            </w:pPr>
            <w:bookmarkStart w:id="0" w:name="_GoBack"/>
            <w:bookmarkEnd w:id="0"/>
          </w:p>
          <w:p w:rsidR="004E57A8" w:rsidRPr="004E57A8" w:rsidRDefault="004E57A8" w:rsidP="004E57A8">
            <w:pPr>
              <w:spacing w:after="0" w:line="240" w:lineRule="auto"/>
              <w:contextualSpacing/>
              <w:rPr>
                <w:rFonts w:ascii="Arial" w:hAnsi="Arial" w:cs="Arial"/>
                <w:szCs w:val="24"/>
              </w:rPr>
            </w:pPr>
          </w:p>
        </w:tc>
        <w:tc>
          <w:tcPr>
            <w:tcW w:w="0" w:type="auto"/>
            <w:shd w:val="clear" w:color="auto" w:fill="FFFFFF"/>
            <w:hideMark/>
          </w:tcPr>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Краснянский Михаил Николаевич родился 22 декабря 1969 года в городе Тамбове в семье служащих.</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С 1976 г. по 1983 г. обучался в средней школе № 28 г. Тамбова. В 1983 г. перешел в среднюю школу № 29 г. Тамбова, которую закончил в 1986 г. с Золотой медалью.</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В 1986 г. поступил и в 1992 г. закончил с отличием факультет "Космонавтики и автоматических летательных аппаратов" Московского авиационного института им. Серго Орджоникидзе по специализации "Системы жизнеобеспечения, спасения и защиты экипажей летательных аппаратов" (квалификация инженер-системотехник).</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В 1992 году поступил и в 1995 году закончил аспирантуру Тамбовского института химического машиностроения (Тамбовский государственный технический университет) с защитой кандидатской диссертации по специальности 05.17.08 - Процессы и аппараты химических технологий.</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Имеет ученую степень доктора технических наук (защитил докторскую диссертацию в 2010 году по теме "Методология прогнозирования и обеспечения надежности функционирования процессов и аппаратов многоассортиментных химических производств" по специальностям 05.17.08 - Процессы и аппараты химических технологий; 05.13.01 - Системный анализ, управление и обработка информации (химическая промышленность)) и ученое звание профессора (присвоено в 2013 году по кафедре "Автоматизированное проектирование технологического оборудования").</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Член-корреспондент Российской академии естественных наук (2014 г.). Почетный работник высшего профессионального образования Российской Федерации. Профессор Российской академии наук (РАН).</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Имеет свыше 290 публикации, в том числе, 25 учебных изданий, 220 научных трудов (индексируемых в международных базах и системах цитирования: 32 - Scopus, 15 - Web of Science), автор 47 объектов интеллектуальной деятельности. За последние 5 лет опубликовано 4 учебных издания, 60 научных трудов, зарегистрировано 26 объектов интеллектуальной деятельности. Принимал участие и осуществлял руководство более 20 проектами и грантами федеральных и ведомственных целевых программ, РФФИ, хоздоговоров с предприятиями реального сектора экономики.</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Подготовил в качестве научного руководителя 3 кандидатов наук.</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Является членом трех диссертационных советов (Д 212.260.02 по специальности 05.17.08 - Процессы и аппараты химических технологий, Д212.260.07 по специальности 05.13.01 - Системный анализ, управление и обработка информации (информационные технологии), Д 212.260.05 по специальности 05.25.05 - Информационные системы и процессы).</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Сфера научных интересов: теория и методы автоматизированного проектирования технических систем многоассортиментных химических производств с учетом надежности функционирования технологического оборудования; проектирование информационно-образовательных систем с удаленным многопользовательским компьютерным доступом к лабораторному и промышленному оборудованию; разработка виртуальных тренажеров для обучения операторов технических систем основам работы в штатных и аварийных ситуациях.</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За многолетнюю плодотворную работу по развитию и совершенствованию учебного процесса, значительный вклад в дело подготовки высококвалифицированных специалистов награжден Почетной грамотой Министерства образования и науки РФ. Награжден медалью «Лауреат ВВЦ» за организацию интерактивной информационно-</w:t>
            </w:r>
            <w:r w:rsidRPr="004E57A8">
              <w:rPr>
                <w:rFonts w:ascii="Arial" w:hAnsi="Arial" w:cs="Arial"/>
                <w:szCs w:val="24"/>
              </w:rPr>
              <w:lastRenderedPageBreak/>
              <w:t>обучающей среды в сети Internet по подготовке специалистов инженерного профиля.</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Трудовая научно-педагогическая деятельность началась в 1995 году в должности ассистента кафедры "Гибкие автоматизированные производственные системы" Тамбовского государственного технического университета и продолжается до настоящего времени в ТГТУ в следующем хронологическом порядке: в должности старшего преподавателя кафедры "Гибкие автоматизированные производственные системы" (1998-2000 гг.); в должности доцента кафедры "Гибкие автоматизированные производственные системы" (переименована в 2003 году в кафедру "Автоматизированное проектирование технологического оборудования") (2000-2012 гг.); в должности заместителя директора по учебной работе Тамбовского регионального центра Федерации Интернет Образования (2003-2006 гг.) и Международного образовательного центра APTECH-ТамбовГТУ (2006-2012 гг.); в должности профессора кафедры "Автоматизированное проектирование технологического оборудования" (преобразована в 2014 г. в кафедру "Компьютерно-интегрированные системы в машиностроении") (2012 – 2015 гг.); проректор по научно-инновационной деятельности (2012 – 2014 гг.), с июля 2014 года назначен на должность исполняющего обязанности ректора. В 2015 году избран ректором Тамбовского государственного технического университета на пятилетний срок. В 2020 году переизбран на должность ректора университета решением конференции работников и обучающихся 03.07.2020 г. тайным голосованием сроком на 5 лет. Утвержден в должности ректора университета приказом Минобрнауки России от 23 сентября 2020 года № 20-02-02/20 на срок по 24.09.2025.</w:t>
            </w:r>
          </w:p>
          <w:p w:rsidR="004E57A8" w:rsidRPr="004E57A8" w:rsidRDefault="004E57A8" w:rsidP="004E57A8">
            <w:pPr>
              <w:spacing w:after="0" w:line="240" w:lineRule="auto"/>
              <w:ind w:firstLine="450"/>
              <w:contextualSpacing/>
              <w:rPr>
                <w:rFonts w:ascii="Arial" w:hAnsi="Arial" w:cs="Arial"/>
                <w:szCs w:val="24"/>
              </w:rPr>
            </w:pPr>
            <w:r w:rsidRPr="004E57A8">
              <w:rPr>
                <w:rFonts w:ascii="Arial" w:hAnsi="Arial" w:cs="Arial"/>
                <w:szCs w:val="24"/>
              </w:rPr>
              <w:t>Женат, воспитывает сына.</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Первый проректор</w:t>
      </w:r>
      <w:r w:rsidRPr="004E57A8">
        <w:rPr>
          <w:rFonts w:ascii="Arial" w:eastAsia="Times New Roman" w:hAnsi="Arial" w:cs="Arial"/>
          <w:szCs w:val="24"/>
          <w:lang w:eastAsia="ru-RU"/>
        </w:rPr>
        <w:br/>
        <w:t>Молоткова Наталия Вячеславовна</w:t>
      </w:r>
    </w:p>
    <w:p w:rsidR="004E57A8" w:rsidRPr="004E57A8" w:rsidRDefault="004E57A8" w:rsidP="004E57A8">
      <w:pPr>
        <w:spacing w:after="0" w:line="240" w:lineRule="auto"/>
        <w:contextualSpacing/>
        <w:rPr>
          <w:rFonts w:ascii="Arial" w:eastAsia="Times New Roman" w:hAnsi="Arial" w:cs="Arial"/>
          <w:szCs w:val="24"/>
          <w:lang w:eastAsia="ru-RU"/>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1753"/>
        <w:gridCol w:w="14101"/>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noProof/>
                <w:szCs w:val="24"/>
                <w:lang w:eastAsia="ru-RU"/>
              </w:rPr>
              <w:drawing>
                <wp:inline distT="0" distB="0" distL="0" distR="0">
                  <wp:extent cx="1027430" cy="1282065"/>
                  <wp:effectExtent l="0" t="0" r="0" b="0"/>
                  <wp:docPr id="2" name="Рисунок 2" descr="https://www.tstu.ru/managment/pror/img/mn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stu.ru/managment/pror/img/mnv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7430" cy="1282065"/>
                          </a:xfrm>
                          <a:prstGeom prst="rect">
                            <a:avLst/>
                          </a:prstGeom>
                          <a:noFill/>
                          <a:ln>
                            <a:noFill/>
                          </a:ln>
                        </pic:spPr>
                      </pic:pic>
                    </a:graphicData>
                  </a:graphic>
                </wp:inline>
              </w:drawing>
            </w:r>
          </w:p>
        </w:tc>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br/>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Первый проректор ТГТУ:</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Курирует вопросы организации и развития образовательной деятельности, разработки и реализации образовательной политики университета в контексте приоритетов развития вуза, системы образования региона и страны, государственной политики в сфере образования.</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работу по непрерывному профессиональному образованию, допрофессиональной и довузовской подготовке.</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Обеспечивает планирование, руководство, организацию и контроль за качеством учебного процесса, кадрового и информационно-методического обеспечения образовательной деятельности в условиях многоуровневого и многопрофильного университетского комплекса.</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Занимается решением задач модернизации системы образования университета, внедрения образовательных и управленческих инноваций, интеграции образовательных программ, систем и уровней на основе кластерно-отраслевой ориентации и сетевого взаимодействия с образовательными организациями, предприятиями, органами административного управления.</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Занимается проблемами формирования и реализации стратегии профориентационной политики вуза, обеспечивающей качественный отбор абитуриентов.</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Курирует вопросы профессиональной ориентации и содействия трудоустройству выпускников университета.</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работу приемной комиссии университета.</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Управляет работой научной библиотеки, отдела менеджмента качества университета, курирует вопросы информационного сопровождения деятельности университета.</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работу университетской пресс-службы и СМИ (телестудии, газеты), других подразделений вуза по вопросам обеспечения маркетинговых коммуникаций, связей с общественностью, формирования и продвижения позитивного имиджа университета, его позиционирования на российском и мировом рынке образовательных услуг.</w:t>
            </w:r>
          </w:p>
          <w:p w:rsidR="004E57A8" w:rsidRPr="004E57A8" w:rsidRDefault="004E57A8" w:rsidP="004E57A8">
            <w:pPr>
              <w:numPr>
                <w:ilvl w:val="0"/>
                <w:numId w:val="1"/>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Координирует работу по антикоррупционной деятельности, вопросы формирования кадрового резерва.</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Молоткова Наталия Вячеславовна обучалась в средней школе №2 г. Тамбова. В 1994 году с дипломом с отличием закончила Тамбовский государственный технический университет, факультет "Автоматизация химических производств", специальность "Системы автоматизированного проектирования" (квалификация - инженер-системотехник). В 2003 году в ТГТУ получила второе высшее образование по специальности "Финансы и кредит", специализация "Финансовый менеджмент" (квалификация - экономист).</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Имеет ученую степень доктора педагогических наук (2003 г., специальность "Теория и методика профессионального образования"), ученое звание профессора (2006 г.).</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 xml:space="preserve">Почетный работник высшего профессионального образования Российской Федерации (2010 г.). Победитель конкурса администрации г. Тамбова в номинации "Женщина в науке" (2010 г.). За достижение высоких показателей в социально-экономическом развитии города Тамбова занесена на Доску Почёта городского округа - город Тамбов (2014 г.). Награждена </w:t>
            </w:r>
            <w:r w:rsidRPr="004E57A8">
              <w:rPr>
                <w:rFonts w:ascii="Arial" w:eastAsia="Times New Roman" w:hAnsi="Arial" w:cs="Arial"/>
                <w:szCs w:val="24"/>
                <w:lang w:eastAsia="ru-RU"/>
              </w:rPr>
              <w:lastRenderedPageBreak/>
              <w:t>нагрудным знаком администрации Тамбовской области "За развитие сферы образования Тамбовской области" (2013 г.), медалью "80 лет Тамбовской области" (2017 г.), нагрудным знаком "За содействие развитию Тамбовской области" (2018 г.). Имеет Благодарственные письма администрации Тамбовской области, администрации г. Тамбова, Тамбовской областной думы. имеет благодарственные письма Минобрнауки России.</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Награждена Знаком Национальной системы развития научной, творческой и инновационной деятельности молодежи России "Интеграция" (2014 г.), награждена Неправительственным экологическим Фондом медалью и орденом В.И. Вернадского, Российской Академией Естествознания - медалью М.В. Ломоносова.</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Член-корреспондент РАЕН (с 2014 г.), академик РЭА (с 2017 г.).</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Сфера научных интересов: инновационно-ориентированная подготовка кадров, организация бизнеса на новой технологической основе, электронная коммерция и информационный бизнес, теория и методика профессионального образования, проектирование систем непрерывного образования. Опубликовано 19 монографий, свыше 40 учебных пособий, в том числе с грифами УМО и Министерства образования РФ, около 50 методических разработок, более 200 научных статей. Под руководством Н.В. Молотковой успешно защищено 22 диссертации на соискание ученой степени кандидата наук, 1 - доктора наук. Работы студентов-исследователей неоднократно поощрялись на смотрах и конкурсах всех уровней, в том числе Всероссийских конкурсах выпускных квалификационных работ.</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Принимала участие в выполнении 9 научных проектов Министерства образования и науки РФ, 3 научных работ по грантам для поддержки прикладных исследований молодых учёных. Являлась координатором от ТГТУ проекта "Разработка и внедрение программы модернизации системы профессионального образования Тамбовской области на 2011-2013 годы", реализуемого Управлением образования и науки Тамбовской области. Участие в 3 международных проектах.</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Соруководитель Межрегиональной научно-исследовательской лаборатории "Современные технологии в образовании и бизнесе" при ТГТУ, на базе которой на основе научного сотрудничества с научными школами и коллективами гг. Москвы, Самары, Липецка, Воронежа, С.-Петербурга, зарубежных стран (Словакия, Китай, Вьетнам, Украина и др.) выполнено более 120 научных исследований на соискание ученых степеней кандидата и доктора наук в области профессионального образования, теории и методики обучения информатике, экономики и управления народным хозяйством, управления качеством.</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Член координационных советов при администрации Тамбовской области по вопросам кадровой политики, развития территориально-отраслевых кластеров. Член ГЭК Тамбовской области, председатель областной предметной комиссии ЕГЭ по информатике и ИКТ. Научный руководитель Регионального центра по работе с одаренными детьми и молодежью Тамбовской области, созданного на базе ТГТУ. Общественный эксперт по экспертизе материалов в рамках Национального проекта "Образование". Член общественного совета при Управлении образования и науки Тамбовской области. Руководитель учебно-методического совета Ассоциации "Объединенный университет им. В.И. Вернадского".</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Включена в состав межведомственной рабочей группы по вопросам кадрового обеспечения сферы жилищно-коммунального хозяйства (Приказ Министерства строительства и жилищно-коммунального хозяйства РФ от 10.01.2014 г. № 8/пр).</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Член Экспертного совета при Правительстве Российской Федерации по рабочим группам "Кадры и социальный лифт", "Наука и инновации", "Образование" (Открытое Правительство РФ).</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 xml:space="preserve">Научно-педагогическая деятельность началась в 1995 году в должности методиста, а затем зав. кабинетом Тамбовского </w:t>
            </w:r>
            <w:r w:rsidRPr="004E57A8">
              <w:rPr>
                <w:rFonts w:ascii="Arial" w:eastAsia="Times New Roman" w:hAnsi="Arial" w:cs="Arial"/>
                <w:szCs w:val="24"/>
                <w:lang w:eastAsia="ru-RU"/>
              </w:rPr>
              <w:lastRenderedPageBreak/>
              <w:t>областного института повышения квалификации работников образования. С 2000 года работает в Тамбовском государственном техническом университете: старший преподаватель (2000-2001 гг.), доцент (2001 - 2003 гг.), профессор (2003 - 2006 гг.), зав. кафедрой "Технология и организация коммерческой деятельности" (2006 - 2011 гг.). С 2009 работает в должности проректора по довузовской подготовке, с 2012 г. - проректора по непрерывному образованию Тамбовского государственного технического университета, с июля 2014 г. - первого проректора.</w:t>
            </w:r>
          </w:p>
          <w:p w:rsidR="004E57A8" w:rsidRPr="004E57A8" w:rsidRDefault="004E57A8" w:rsidP="004E57A8">
            <w:pPr>
              <w:spacing w:after="0" w:line="240" w:lineRule="auto"/>
              <w:ind w:firstLine="300"/>
              <w:contextualSpacing/>
              <w:rPr>
                <w:rFonts w:ascii="Arial" w:eastAsia="Times New Roman" w:hAnsi="Arial" w:cs="Arial"/>
                <w:szCs w:val="24"/>
                <w:lang w:eastAsia="ru-RU"/>
              </w:rPr>
            </w:pPr>
            <w:r w:rsidRPr="004E57A8">
              <w:rPr>
                <w:rFonts w:ascii="Arial" w:eastAsia="Times New Roman" w:hAnsi="Arial" w:cs="Arial"/>
                <w:szCs w:val="24"/>
                <w:lang w:eastAsia="ru-RU"/>
              </w:rPr>
              <w:t>Семейное положение: замужем.</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Проректор по социальной работе и молодёжной политике</w:t>
      </w:r>
      <w:r w:rsidRPr="004E57A8">
        <w:rPr>
          <w:rFonts w:ascii="Arial" w:eastAsia="Times New Roman" w:hAnsi="Arial" w:cs="Arial"/>
          <w:szCs w:val="24"/>
          <w:lang w:eastAsia="ru-RU"/>
        </w:rPr>
        <w:br/>
        <w:t>Соседов Геннадий Анатольевич</w:t>
      </w:r>
    </w:p>
    <w:p w:rsidR="004E57A8" w:rsidRPr="004E57A8" w:rsidRDefault="004E57A8" w:rsidP="004E57A8">
      <w:pPr>
        <w:spacing w:after="0" w:line="240" w:lineRule="auto"/>
        <w:contextualSpacing/>
        <w:rPr>
          <w:rFonts w:ascii="Arial" w:eastAsia="Times New Roman" w:hAnsi="Arial" w:cs="Arial"/>
          <w:szCs w:val="24"/>
          <w:lang w:eastAsia="ru-RU"/>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1560"/>
        <w:gridCol w:w="14294"/>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noProof/>
                <w:szCs w:val="24"/>
                <w:lang w:eastAsia="ru-RU"/>
              </w:rPr>
              <w:drawing>
                <wp:inline distT="0" distB="0" distL="0" distR="0">
                  <wp:extent cx="904875" cy="1282065"/>
                  <wp:effectExtent l="0" t="0" r="0" b="0"/>
                  <wp:docPr id="3" name="Рисунок 3" descr="https://www.tstu.ru/managment/pror/img/sosed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stu.ru/managment/pror/img/sosedo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282065"/>
                          </a:xfrm>
                          <a:prstGeom prst="rect">
                            <a:avLst/>
                          </a:prstGeom>
                          <a:noFill/>
                          <a:ln>
                            <a:noFill/>
                          </a:ln>
                        </pic:spPr>
                      </pic:pic>
                    </a:graphicData>
                  </a:graphic>
                </wp:inline>
              </w:drawing>
            </w:r>
          </w:p>
        </w:tc>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br/>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Проректор по социальной работе и молодежной политике ТГТУ:</w:t>
            </w:r>
          </w:p>
          <w:p w:rsidR="004E57A8" w:rsidRPr="004E57A8" w:rsidRDefault="004E57A8" w:rsidP="004E57A8">
            <w:pPr>
              <w:numPr>
                <w:ilvl w:val="0"/>
                <w:numId w:val="2"/>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функции по нормативно-правовому регулированию в социальной сфере и молодежной политике университета, развитию социальной инфраструктуры.</w:t>
            </w:r>
          </w:p>
          <w:p w:rsidR="004E57A8" w:rsidRPr="004E57A8" w:rsidRDefault="004E57A8" w:rsidP="004E57A8">
            <w:pPr>
              <w:numPr>
                <w:ilvl w:val="0"/>
                <w:numId w:val="2"/>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деятельность подразделений университета по укреплению здоровья сотрудников и обучающихся, формированию среди студентов и профессорско-преподавательского состава ценностей здорового образа жизни. Руководит созданием и реализацией в университете инновационных программ и проектов, направленных на пропаганду здорового образа жизни, повышение уровня физического и нравственного воспитания, отказ от вредных привычек среди студентов и профессорско-преподавательского состава, обобщению и распространению передового опыта по формированию здорового образа жизни как фактора повышения качества подготовки специалистов.</w:t>
            </w:r>
          </w:p>
          <w:p w:rsidR="004E57A8" w:rsidRPr="004E57A8" w:rsidRDefault="004E57A8" w:rsidP="004E57A8">
            <w:pPr>
              <w:numPr>
                <w:ilvl w:val="0"/>
                <w:numId w:val="2"/>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деятельность по совершенствованию медицинского обслуживания и здорового питания студентов и сотрудников университета. Курирует работу оздоровительных лагерей и общежитий университета.</w:t>
            </w:r>
          </w:p>
          <w:p w:rsidR="004E57A8" w:rsidRPr="004E57A8" w:rsidRDefault="004E57A8" w:rsidP="004E57A8">
            <w:pPr>
              <w:numPr>
                <w:ilvl w:val="0"/>
                <w:numId w:val="2"/>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перспективное планирование и оперативное решение приоритетной задачи в политике государства - воспитание высоконравственных людей с чувством гражданской ответственности, развитие студенческого самоуправления и патриотического воспитания молодежи, в том числе деятельности студенческих объединений, волонтерских и студенческих отрядов.</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Соседов Геннадий Анатольевич родился 15.11.1965 г. в с. Черняное Тамбовского района Тамбовской области в семье потомственных учителей.</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Образование: высшее экономическое, высшее педагогическое, кандидат педагогических наук, доцент.</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Трудовая деятельность началась с 1987 г. и полностью связана с профессиональным образованием.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Тамбовском государственном техническом университете работает с 2004 года на постоянной основе. С 2004 года – директор многопрофильного колледжа Тамбовского государственного технического университета (на правах факультета). С созданием многопрофильного колледжа в университете успешно началась и эффективно продолжается реализация среднего профессионального образования в рамках развития программы непрерывного профессионального образования в вузе. Являясь по совместительству профессором кафедры "Коммерция и бизнес-информатика", активно участвует во всех направлениях деятельности кафедры и университета, преподает профилирующие дисциплины, активно занимается научной работой (систематически участвует в работе научно-практических конференций, имеет публикации в рецензируемых научных журналах, индексируемых в системе РИНЦ).</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 декабря 2012 года по июль 2014 года работал в должности заместителя первого проректора по воспитательной работе и молодежной политике университета.</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 июля 2014 года по июль 2015 года работал в должности заместителя проректора по кадровой и молодежной политике университета.</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 июля 2015 года назначен на должность проректора по социальной работе и молодежной политике.</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xml:space="preserve">Сфера профессиональной деятельности – формирование социальной и молодежной политики вуза, направленной на </w:t>
            </w:r>
            <w:r w:rsidRPr="004E57A8">
              <w:rPr>
                <w:rFonts w:ascii="Arial" w:eastAsia="Times New Roman" w:hAnsi="Arial" w:cs="Arial"/>
                <w:szCs w:val="24"/>
                <w:lang w:eastAsia="ru-RU"/>
              </w:rPr>
              <w:lastRenderedPageBreak/>
              <w:t>нравственное, патриотическое, культурное и трудовое воспитание студентов, а также организация культурно – досуговой деятельности и социально-психологической поддержки студентов.</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Соседов Г.А. активно занимается общественной деятельностью:</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с 2010 по 2011 гг. был избран депутатом Тамбовской городской Думы, работал в комиссии по противодействию коррупции и защите прав граждан;</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с 2011 по 2016 гг. – был избран депутатом Тамбовской областной Думы, работал заместителем председателя комитета по законодательству;</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с 2012 по 2016 гг. – член комиссии администрации Тамбовской области по законопроектной деятельности и разработке иных нормативных актов области;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с 2014 года по настоящее время является членом Совета проректоров вузов Российской Федерации по воспитательной работе.</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с 2016 года по настоящее время является членом Общественной палаты Тамбовской области.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Соседов Г.А. является Почетным работником высшего профессионального образования РФ, награжден нагрудным знаком администрации Тамбовской области "За трудовые достижения", Почетными грамотами Министерства образования и науки РФ, Тамбовской областной Думы, Тамбовской городской Думы, главы города Тамбова, главы Тамбовского района, Тамбовского районного Совета народных депутатов.</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Семейное положение: женат.</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Проректор по научной работе</w:t>
      </w:r>
      <w:r w:rsidRPr="004E57A8">
        <w:rPr>
          <w:rFonts w:ascii="Arial" w:eastAsia="Times New Roman" w:hAnsi="Arial" w:cs="Arial"/>
          <w:szCs w:val="24"/>
          <w:lang w:eastAsia="ru-RU"/>
        </w:rPr>
        <w:br/>
        <w:t>Муромцев Дмитрий Юрьевич</w:t>
      </w:r>
    </w:p>
    <w:p w:rsidR="004E57A8" w:rsidRPr="004E57A8" w:rsidRDefault="004E57A8" w:rsidP="004E57A8">
      <w:pPr>
        <w:spacing w:after="0" w:line="240" w:lineRule="auto"/>
        <w:contextualSpacing/>
        <w:rPr>
          <w:rFonts w:ascii="Arial" w:eastAsia="Times New Roman" w:hAnsi="Arial" w:cs="Arial"/>
          <w:szCs w:val="24"/>
          <w:lang w:eastAsia="ru-RU"/>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1560"/>
        <w:gridCol w:w="14294"/>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noProof/>
                <w:szCs w:val="24"/>
                <w:lang w:eastAsia="ru-RU"/>
              </w:rPr>
              <w:drawing>
                <wp:inline distT="0" distB="0" distL="0" distR="0">
                  <wp:extent cx="904875" cy="1282065"/>
                  <wp:effectExtent l="0" t="0" r="0" b="0"/>
                  <wp:docPr id="4" name="Рисунок 4" descr="https://www.tstu.ru/managment/pror/img/muromc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stu.ru/managment/pror/img/muromce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82065"/>
                          </a:xfrm>
                          <a:prstGeom prst="rect">
                            <a:avLst/>
                          </a:prstGeom>
                          <a:noFill/>
                          <a:ln>
                            <a:noFill/>
                          </a:ln>
                        </pic:spPr>
                      </pic:pic>
                    </a:graphicData>
                  </a:graphic>
                </wp:inline>
              </w:drawing>
            </w:r>
          </w:p>
        </w:tc>
        <w:tc>
          <w:tcPr>
            <w:tcW w:w="0" w:type="auto"/>
            <w:shd w:val="clear" w:color="auto" w:fill="FFFFFF"/>
            <w:hideMark/>
          </w:tcPr>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Проректор по НР обеспечивает осуществление Университетом функций по выработке и реализации государственной политики и нормативному правовому регулированию в сфере научной, научно-технической деятельности и инновационной деятельности в научно-технической сфере, включая развитие фундаментальных, поисковых и прикладных исследований, сохранение и развитие кадрового потенциала научно-технического комплекса, интеграции науки и образования, формирование и развитие инфраструктуры науки, включая поддержку уникальных научных стендов и установок, центров коллективного пользования научным оборудованием, в сфере государственной регистрации и учета результатов научно-технической деятельности, созданных за счет средств федерального бюджета, в сфере интеллектуальной собственности.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Обеспечивает поддержку и участвует в работе по корректировке приоритетных направлений развития науки, технологий и техники в ТГТУ. Осуществляет функции по формированию заданий структурным подразделениям ТГТУ на оказание государственных услуг (выполнение работ) в части выполнения фундаментальных и прикладных исследований и экспериментальных разработок.</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Муромцев Дмитрий Юрьевич родился 10 мая 1974 года в городе Тамбове.</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 1981 года по 1991 год обучался в средней школе № 19 г. Тамбова. В 1991 году поступил в Тамбовский государственный технический университет и окончил в 1996 году по специальности "Автоматизация технологических процессов и производств", квалификация – инженер по автоматизации В 1996 году поступил на специальность "Юриспруденция" Тамбовского государственного технического университета, в 1999 году получил квалификацию – юрист.</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Трудовую деятельность начал в 1996 году в Тамбовском государственном техническом университете в должности старшего лаборанта кафедры "Конструирование радиоэлектронных и микропроцессорных систем". В этом же году поступил в аспирантуру Тамбовского государственного технического университета. С 2000 года работал в должности ассистента кафедры "Конструирование радиоэлектронных и микропроцессорных систем".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2000 году защитил кандидатскую диссертацию по специальности "Автоматизация и управление технологическими процессами и производствами (промышленность)".</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период с 2002 года по 2005 год обучался в докторантуре Тамбовского государственного технического университета и работал доцентом кафедры "Конструирование радиоэлектронных и микропроцессорных систем". В 2005 году присвоено ученое звание доцента.</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Согласно Указу Президента РФ от 2003 г. стал Лауреатом Государственной премии Российской Федерации для молодых ученых за выдающиеся работы в области науки и техники.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2006 году защитил диссертацию на соискание ученой степени доктора технических наук по специальности "Автоматизация и управление технологическими процессами и производствами (промышленность)". С этого года работал профессором кафедры "Конструирование радиоэлектронных и микропроцессорных систем".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2006 году присуждена ученая степень доктора технических наук. В 2008 году присвоено ученое звание профессора по кафедре "Конструирование радиоэлектронных и микропроцессорных систем".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xml:space="preserve">С 2007 года по 2015 год занимал должность заведующего кафедрой "Конструирование радиоэлектронных и </w:t>
            </w:r>
            <w:r w:rsidRPr="004E57A8">
              <w:rPr>
                <w:rFonts w:ascii="Arial" w:eastAsia="Times New Roman" w:hAnsi="Arial" w:cs="Arial"/>
                <w:szCs w:val="24"/>
                <w:lang w:eastAsia="ru-RU"/>
              </w:rPr>
              <w:lastRenderedPageBreak/>
              <w:t>микропроцессорных систем" Тамбовского государственного технического университета.</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Опубликовал 155 научных работ (из них 4 монографии), 52 учебно-методических разработок, 10 патентов, 26 авторских свидетельств на программы для ЭВМ. В 2010 году избран членом-корреспондентом Российской академии естественных наук.</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За заслуги в области образования присвоено почётное звание "Почетный работник высшего профессионального образования Российской Федерации" (2012 г.). Является членом Ассоциации Инженерного Образования России, экспертом Высшей аттестационной комиссии, экспертом государственной аккредитации образовательных программ, экспертом общественно-профессиональной аккредитации образовательных программ.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Женат, воспитывает дочь.</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Проректор по международной деятельности</w:t>
      </w:r>
      <w:r w:rsidRPr="004E57A8">
        <w:rPr>
          <w:rFonts w:ascii="Arial" w:eastAsia="Times New Roman" w:hAnsi="Arial" w:cs="Arial"/>
          <w:szCs w:val="24"/>
          <w:lang w:eastAsia="ru-RU"/>
        </w:rPr>
        <w:br/>
        <w:t>Мищенко Елена Сергеевна</w:t>
      </w:r>
    </w:p>
    <w:p w:rsidR="004E57A8" w:rsidRPr="004E57A8" w:rsidRDefault="004E57A8" w:rsidP="004E57A8">
      <w:pPr>
        <w:spacing w:after="0" w:line="240" w:lineRule="auto"/>
        <w:contextualSpacing/>
        <w:rPr>
          <w:rFonts w:ascii="Arial" w:eastAsia="Times New Roman" w:hAnsi="Arial" w:cs="Arial"/>
          <w:szCs w:val="24"/>
          <w:lang w:eastAsia="ru-RU"/>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1486"/>
        <w:gridCol w:w="14368"/>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noProof/>
                <w:szCs w:val="24"/>
                <w:lang w:eastAsia="ru-RU"/>
              </w:rPr>
              <w:drawing>
                <wp:inline distT="0" distB="0" distL="0" distR="0">
                  <wp:extent cx="857885" cy="1282065"/>
                  <wp:effectExtent l="0" t="0" r="0" b="0"/>
                  <wp:docPr id="5" name="Рисунок 5" descr="https://www.tstu.ru/managment/pror/img/mischenk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stu.ru/managment/pror/img/mischenko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885" cy="1282065"/>
                          </a:xfrm>
                          <a:prstGeom prst="rect">
                            <a:avLst/>
                          </a:prstGeom>
                          <a:noFill/>
                          <a:ln>
                            <a:noFill/>
                          </a:ln>
                        </pic:spPr>
                      </pic:pic>
                    </a:graphicData>
                  </a:graphic>
                </wp:inline>
              </w:drawing>
            </w:r>
          </w:p>
        </w:tc>
        <w:tc>
          <w:tcPr>
            <w:tcW w:w="0" w:type="auto"/>
            <w:shd w:val="clear" w:color="auto" w:fill="FFFFFF"/>
            <w:hideMark/>
          </w:tcPr>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Проректор по международной деятельности</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работу и осуществляет контроль по набору и приему иностранных граждан в университет по всем специальностям и направлениям на все формы обучения;</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руководит деятельностью деканата факультета международного образования;</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контролирует развитие международного сотрудничества университета;</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подготовку и заключение долгосрочных соглашений и договоров с зарубежными партнерами, контролирует исполнение заключенных университетом международных договоров;</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координацию и анализ эффективности международной деятельности всех подразделений университета;</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руководит работой управления международных связей по договорно-правовому, организационному, паспортно-визовому, протокольному обеспечению международного сотрудничества университета, информированию сотрудников и студентов о возможных формах участия в программах международного сотрудничества различных уровней, оформлению выездов за рубеж сотрудников и студентов университета в соответствии с соглашениями о международном сотрудничестве;</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организует учет и отчетность по вопросам международной деятельности университета;</w:t>
            </w:r>
          </w:p>
          <w:p w:rsidR="004E57A8" w:rsidRPr="004E57A8" w:rsidRDefault="004E57A8" w:rsidP="004E57A8">
            <w:pPr>
              <w:numPr>
                <w:ilvl w:val="0"/>
                <w:numId w:val="3"/>
              </w:num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осуществляет непосредственные контакты с зарубежными партнерами, их представителями в Российской Федерации и отдельными лицами по вопросам, относящимся к международной деятельности университета.</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Мищенко Елена Сергеевна в 1990г. закончила гимназию № 12 г. Тамбова с медалью, в период 1990г.-1995г. обучалась в Тамбовском государственном университете им. Г.Р. Державина по специальности "Английский и немецкий языки", присвоена квалификация - учитель английского и немецкого языков, имеет диплом с отличием.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 1997 году в Тамбовском государственном техническом университете с отличием закончила экономический факультет по специальности "Экономика и управление на предприятии", с присвоением квалификации инженер-экономист.</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Имеет ученую степень доктора экономических наук, ученое звание профессора. В 2008 году присвоено звание Международный преподаватель инженерных дисциплин - ING-PAEDIGIP. В 2012 -2013 прошла обучение по программе "Новые лидеры высшего образования" в Московской школе управления СКОЛКОВО.</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За многолетнюю плодотворную работу по развитию и совершенствованию учебного процесса, значительный вклад в дело подготовки высококвалифицированных специалистов награждена почетной грамотой Министерства образования и науки РФ и почетной грамотой Тамбовской городской Думы. Награждена медалью "150 лет со дня рождения В.И.Вернадского".</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Почетный работник высшего профессионального образования Российской Федерации.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Академик общественной Российской экологической академии (2017 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Член-корреспондент Российской академии естественных наук (2017 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Реализует мероприятия проекта ЭкоГРИН (в рамках программы стратегического развития ТГТУ на период 2017-2021 гг.). Принимает участие и курирует выполнение международных проектов программ ТЕМПУС, ЭРАЗМУС+ и других международных проектов.</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Сфера научных интересов: управление качеством, менеджмент, межкультурная коммуникация, педагогика высшей школы, стратегическое планирование развития международной деятельности, английская филология.</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Автор более 100 научных и научно-методических работ.</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Трудовая научно-педагогическая деятельность началась в 1998 году в должности ассистента кафедры "Финансы и кредит" Тамбовского государственного технического университета и продолжается до настоящего времени в стенах одного вуза в следующем хронологическом порядке:</w:t>
            </w:r>
          </w:p>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br/>
              <w:t>- в должности ведущего инженера Консультационного центра Тамбовского государственного технического университета (2000 г.)</w:t>
            </w:r>
            <w:r w:rsidRPr="004E57A8">
              <w:rPr>
                <w:rFonts w:ascii="Arial" w:eastAsia="Times New Roman" w:hAnsi="Arial" w:cs="Arial"/>
                <w:szCs w:val="24"/>
                <w:lang w:eastAsia="ru-RU"/>
              </w:rPr>
              <w:br/>
              <w:t>- в должности директора Консультационного центра Тамбовского государственного технического университета (2000 - 2008 гг.)</w:t>
            </w:r>
            <w:r w:rsidRPr="004E57A8">
              <w:rPr>
                <w:rFonts w:ascii="Arial" w:eastAsia="Times New Roman" w:hAnsi="Arial" w:cs="Arial"/>
                <w:szCs w:val="24"/>
                <w:lang w:eastAsia="ru-RU"/>
              </w:rPr>
              <w:br/>
              <w:t>- в должности доцента кафедры "Менеджмент организации" Тамбовского государственного технического университета (2008-2011 гг.)</w:t>
            </w:r>
            <w:r w:rsidRPr="004E57A8">
              <w:rPr>
                <w:rFonts w:ascii="Arial" w:eastAsia="Times New Roman" w:hAnsi="Arial" w:cs="Arial"/>
                <w:szCs w:val="24"/>
                <w:lang w:eastAsia="ru-RU"/>
              </w:rPr>
              <w:br/>
              <w:t>- в должности доцента кафедры "Менеджмент" Тамбовского государственного технического университета (2011 г.)</w:t>
            </w:r>
            <w:r w:rsidRPr="004E57A8">
              <w:rPr>
                <w:rFonts w:ascii="Arial" w:eastAsia="Times New Roman" w:hAnsi="Arial" w:cs="Arial"/>
                <w:szCs w:val="24"/>
                <w:lang w:eastAsia="ru-RU"/>
              </w:rPr>
              <w:br/>
              <w:t>- в должности профессора кафедры "Менеджмент" Тамбовского государственного технического университета (2011 г.)</w:t>
            </w:r>
            <w:r w:rsidRPr="004E57A8">
              <w:rPr>
                <w:rFonts w:ascii="Arial" w:eastAsia="Times New Roman" w:hAnsi="Arial" w:cs="Arial"/>
                <w:szCs w:val="24"/>
                <w:lang w:eastAsia="ru-RU"/>
              </w:rPr>
              <w:br/>
              <w:t>- в должности проректора по международной деятельности Тамбовского государственного технического университета (с 2011 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Воспитывает дочь.</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lastRenderedPageBreak/>
        <w:t>Проректор по управлению имущественным комплексом и инфраструктурному развитию</w:t>
      </w:r>
      <w:r w:rsidRPr="004E57A8">
        <w:rPr>
          <w:rFonts w:ascii="Arial" w:eastAsia="Times New Roman" w:hAnsi="Arial" w:cs="Arial"/>
          <w:szCs w:val="24"/>
          <w:lang w:eastAsia="ru-RU"/>
        </w:rPr>
        <w:br/>
        <w:t>Майстренко Александр Владимирович</w:t>
      </w:r>
    </w:p>
    <w:p w:rsidR="004E57A8" w:rsidRPr="004E57A8" w:rsidRDefault="004E57A8" w:rsidP="004E57A8">
      <w:pPr>
        <w:spacing w:after="0" w:line="240" w:lineRule="auto"/>
        <w:contextualSpacing/>
        <w:rPr>
          <w:rFonts w:ascii="Arial" w:eastAsia="Times New Roman" w:hAnsi="Arial" w:cs="Arial"/>
          <w:szCs w:val="24"/>
          <w:lang w:eastAsia="ru-RU"/>
        </w:rPr>
      </w:pP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1486"/>
        <w:gridCol w:w="14368"/>
      </w:tblGrid>
      <w:tr w:rsidR="004E57A8" w:rsidRPr="004E57A8" w:rsidTr="004E57A8">
        <w:trPr>
          <w:tblCellSpacing w:w="15" w:type="dxa"/>
        </w:trPr>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noProof/>
                <w:szCs w:val="24"/>
                <w:lang w:eastAsia="ru-RU"/>
              </w:rPr>
              <w:drawing>
                <wp:inline distT="0" distB="0" distL="0" distR="0">
                  <wp:extent cx="857885" cy="1282065"/>
                  <wp:effectExtent l="0" t="0" r="0" b="0"/>
                  <wp:docPr id="6" name="Рисунок 6" descr="https://www.tstu.ru/managment/pror/img/maistr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tstu.ru/managment/pror/img/maistrenk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885" cy="1282065"/>
                          </a:xfrm>
                          <a:prstGeom prst="rect">
                            <a:avLst/>
                          </a:prstGeom>
                          <a:noFill/>
                          <a:ln>
                            <a:noFill/>
                          </a:ln>
                        </pic:spPr>
                      </pic:pic>
                    </a:graphicData>
                  </a:graphic>
                </wp:inline>
              </w:drawing>
            </w:r>
          </w:p>
        </w:tc>
        <w:tc>
          <w:tcPr>
            <w:tcW w:w="0" w:type="auto"/>
            <w:shd w:val="clear" w:color="auto" w:fill="FFFFFF"/>
            <w:hideMark/>
          </w:tcPr>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br/>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Проректор по развитию имущественного комплекса Майстренко Александр Владимирович курирует вопросы:</w:t>
            </w:r>
            <w:r w:rsidRPr="004E57A8">
              <w:rPr>
                <w:rFonts w:ascii="Arial" w:eastAsia="Times New Roman" w:hAnsi="Arial" w:cs="Arial"/>
                <w:szCs w:val="24"/>
                <w:lang w:eastAsia="ru-RU"/>
              </w:rPr>
              <w:br/>
              <w:t>- перспективного планирования, документационного сопровождения и оперативного управления имущественным комплексом университета;</w:t>
            </w:r>
            <w:r w:rsidRPr="004E57A8">
              <w:rPr>
                <w:rFonts w:ascii="Arial" w:eastAsia="Times New Roman" w:hAnsi="Arial" w:cs="Arial"/>
                <w:szCs w:val="24"/>
                <w:lang w:eastAsia="ru-RU"/>
              </w:rPr>
              <w:br/>
              <w:t>- ресурсного, транспортного и материально-технического обеспечения инфраструктуры университета, включая организацию закупок товаров и услуг для нужд университета;</w:t>
            </w:r>
            <w:r w:rsidRPr="004E57A8">
              <w:rPr>
                <w:rFonts w:ascii="Arial" w:eastAsia="Times New Roman" w:hAnsi="Arial" w:cs="Arial"/>
                <w:szCs w:val="24"/>
                <w:lang w:eastAsia="ru-RU"/>
              </w:rPr>
              <w:br/>
              <w:t>- поддержания имущественного комплекса в рабочем состоянии административно-хозяйственными службами и подразделениями университета, в том числе организацию и проведение ремонтно-строительных работ.</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Майстренко Александр Владимирович родился и вырос в г. Тамбове. После окончания средней школы № 7 г. Тамбова поступает в Тамбовский институт химического машиностроения на факультет "Автоматизация химических производств", специальность "Автоматизация и комплексная механизация химико-технологических процессов", который заканчивает в 1988 году с красным дипломом (квалификация "инженер по автоматизации").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Свою трудовую деятельность Майстренко Александр Владимирович начинает в феврале 1986 года, когда будучи студентом 3-го курса института устраивается на работу в должности лаборанта кафедры "Автоматизация химических производств". В декабре 1990 года поступает в очную аспирантуру Тамбовского института химического машиностроения, по окончании которой успешно защищает диссертацию на соискание ученой степени кандидата технических наук и переходит на преподавательскую работу и, впоследствии, в разные годы работает в должности ассистента, старшего преподавателя, доцента кафедры, заместителя декана, декана факультета и директора института ТГТУ.</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Имеет ученую степень кандидата технических наук (1994 г., специальность "Процессы и аппараты химической технологии") и ученое звание доцента (1999 г.)</w:t>
            </w:r>
          </w:p>
          <w:p w:rsidR="004E57A8" w:rsidRPr="004E57A8" w:rsidRDefault="004E57A8" w:rsidP="004E57A8">
            <w:pPr>
              <w:spacing w:after="0" w:line="240" w:lineRule="auto"/>
              <w:contextualSpacing/>
              <w:rPr>
                <w:rFonts w:ascii="Arial" w:eastAsia="Times New Roman" w:hAnsi="Arial" w:cs="Arial"/>
                <w:szCs w:val="24"/>
                <w:lang w:eastAsia="ru-RU"/>
              </w:rPr>
            </w:pPr>
            <w:r w:rsidRPr="004E57A8">
              <w:rPr>
                <w:rFonts w:ascii="Arial" w:eastAsia="Times New Roman" w:hAnsi="Arial" w:cs="Arial"/>
                <w:szCs w:val="24"/>
                <w:lang w:eastAsia="ru-RU"/>
              </w:rPr>
              <w:t>.</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Почетный работник высшего профессионального образования Российской Федерации, награжден Почетной грамотой города Тамбова, неоднократно отмечался благодарственными письмами администрации Тамбовской области.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Сфера научных интересов: теория и методы автоматизированного проектирования энерго- и ресурсосберегающих процессов и оборудования химической технологии в условиях неопределенности; создание интерактивных информационных систем моделирования и проектирования сложных химико-технологических процессов. Им опубликовано более 100 научных статей в рецензируемых научных журналах и материалах конференций, издано около 20 электронных и традиционных учебно-методических разработок и учебных пособий, в том числе с грифами УМО, получено более 10 свидетельств о государственной регистрации программ для ЭВМ.</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xml:space="preserve">Наряду с научно-педагогической деятельностью на штатных должностях в университете с 2002 г. по 2013 г. Майстренко А.В. являлся региональным представителем в г. Тамбове Международной научной конференции "Математические методы в технике и технологиях", проводящейся в нашей стране с 1979 г., и с 2004 г. по 2014 г. - исполнительным директором ассоциации "Объединенный университет имени В.И. Вернадского", объединившей </w:t>
            </w:r>
            <w:r w:rsidRPr="004E57A8">
              <w:rPr>
                <w:rFonts w:ascii="Arial" w:eastAsia="Times New Roman" w:hAnsi="Arial" w:cs="Arial"/>
                <w:szCs w:val="24"/>
                <w:lang w:eastAsia="ru-RU"/>
              </w:rPr>
              <w:lastRenderedPageBreak/>
              <w:t>несколько вузов из Тамбова и Мичуринска Тамбовской области, Воронежа, Москвы, Вятки, а также средние профессиональные учебные заведения и НИИ.</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Трудовая научно-педагогическая деятельность началась в 1986 году в должности лаборанта кафедры "Автоматизация химических производств" Тамбовского института химического машиностроения и продолжается до настоящего времени в стенах одного вуза в следующем хронологическом порядке:</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инженера НИС кафедры "Автоматизация химических производств" Тамбовского института химического машиностроения (1988-1993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ассистента кафедры "Машины и аппараты химических производств" (в 1995 г. переименована в кафедру "Технологическое оборудование и прогрессивные технологии") Тамбовского государственного технического университета (1994 - 1997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старшего преподавателя кафедры "Технологическое оборудование и прогрессивные технологии" Тамбовского государственного технического университета (1997 - 1998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доцента кафедры "Технологическое оборудование и прогрессивные технологии" (в настоящее время кафедра "Технологии и оборудование пищевых и химических производств") Тамбовского государственного технического университета (1998 г. - н.в.);</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заместителя декана заочного факультета Тамбовского государственного технического университета (1996 - 2000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заместителя декана факультета химической и биологической безопасности (в 2009 г. факультет переименован в факультет нанотехнологий) Тамбовского государственного технического университета (2005 - 2009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декана факультета нанотехнологий Тамбовского государственного технического университета (2009 - 2013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директора Технологического института Тамбовского государственного технического университета (2013 - 2014 г.г.);</w:t>
            </w:r>
          </w:p>
          <w:p w:rsidR="004E57A8" w:rsidRPr="004E57A8" w:rsidRDefault="004E57A8" w:rsidP="004E57A8">
            <w:pPr>
              <w:spacing w:after="0" w:line="240" w:lineRule="auto"/>
              <w:ind w:left="720"/>
              <w:contextualSpacing/>
              <w:rPr>
                <w:rFonts w:ascii="Arial" w:eastAsia="Times New Roman" w:hAnsi="Arial" w:cs="Arial"/>
                <w:szCs w:val="24"/>
                <w:lang w:eastAsia="ru-RU"/>
              </w:rPr>
            </w:pPr>
            <w:r w:rsidRPr="004E57A8">
              <w:rPr>
                <w:rFonts w:ascii="Arial" w:eastAsia="Times New Roman" w:hAnsi="Arial" w:cs="Arial"/>
                <w:szCs w:val="24"/>
                <w:lang w:eastAsia="ru-RU"/>
              </w:rPr>
              <w:t>- в должности проректора по развитию имущественного комплекса Тамбовского государственного технического университета (с 2014 г.).</w:t>
            </w:r>
          </w:p>
        </w:tc>
      </w:tr>
    </w:tbl>
    <w:p w:rsidR="004E57A8" w:rsidRPr="004E57A8" w:rsidRDefault="004E57A8" w:rsidP="004E57A8">
      <w:pPr>
        <w:spacing w:after="0" w:line="240" w:lineRule="auto"/>
        <w:contextualSpacing/>
        <w:rPr>
          <w:rFonts w:ascii="Arial" w:hAnsi="Arial" w:cs="Arial"/>
          <w:szCs w:val="24"/>
        </w:rPr>
      </w:pPr>
    </w:p>
    <w:p w:rsidR="004E57A8" w:rsidRPr="004E57A8" w:rsidRDefault="004E57A8" w:rsidP="004E57A8">
      <w:pPr>
        <w:spacing w:after="0" w:line="240" w:lineRule="auto"/>
        <w:contextualSpacing/>
        <w:rPr>
          <w:rFonts w:ascii="Arial" w:hAnsi="Arial" w:cs="Arial"/>
          <w:szCs w:val="24"/>
        </w:rPr>
      </w:pPr>
      <w:r w:rsidRPr="004E57A8">
        <w:rPr>
          <w:rFonts w:ascii="Arial" w:hAnsi="Arial" w:cs="Arial"/>
          <w:szCs w:val="24"/>
        </w:rPr>
        <w:br w:type="page"/>
      </w:r>
    </w:p>
    <w:p w:rsidR="004E57A8" w:rsidRPr="004E57A8" w:rsidRDefault="004E57A8" w:rsidP="004E57A8">
      <w:pPr>
        <w:shd w:val="clear" w:color="auto" w:fill="FFFFFF"/>
        <w:spacing w:after="0" w:line="240" w:lineRule="auto"/>
        <w:contextualSpacing/>
        <w:rPr>
          <w:rFonts w:ascii="Arial" w:hAnsi="Arial" w:cs="Arial"/>
          <w:szCs w:val="24"/>
          <w:lang w:eastAsia="ru-RU"/>
        </w:rPr>
      </w:pPr>
      <w:r w:rsidRPr="004E57A8">
        <w:rPr>
          <w:rFonts w:ascii="Arial" w:hAnsi="Arial" w:cs="Arial"/>
          <w:b/>
          <w:bCs/>
          <w:szCs w:val="24"/>
        </w:rPr>
        <w:lastRenderedPageBreak/>
        <w:t>Информация о руководителе и заместителях руководителя образовательной организации</w:t>
      </w:r>
    </w:p>
    <w:tbl>
      <w:tblPr>
        <w:tblW w:w="4624"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84"/>
        <w:gridCol w:w="5544"/>
        <w:gridCol w:w="8362"/>
      </w:tblGrid>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b/>
                <w:bCs/>
                <w:szCs w:val="24"/>
              </w:rPr>
              <w:t>№ п/п</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b/>
                <w:bCs/>
                <w:szCs w:val="24"/>
              </w:rPr>
              <w:t>Ф.И.О.</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b/>
                <w:bCs/>
                <w:szCs w:val="24"/>
              </w:rPr>
              <w:t>Должность</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1.</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Краснянский Михаил Николаевич</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Ректор</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2.</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Молоткова Наталия Вячеславовна</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Первый проректор</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3.</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Муромцев Дмитрий Юрьевич</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Проректор по научной работе</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4.</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Соседов Геннадий Анатольевич</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Проректор по социальной работе и молодежной политике</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5.</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Мищенко Елена Сергеевна</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Проректор по международной деятельности</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6.</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Майстренко Александр Владимирович</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Проректор по развитию имущественного комплекса</w:t>
            </w:r>
          </w:p>
        </w:tc>
      </w:tr>
      <w:tr w:rsidR="00D95C2B" w:rsidRPr="004E57A8" w:rsidTr="00D95C2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7.</w:t>
            </w:r>
          </w:p>
        </w:tc>
        <w:tc>
          <w:tcPr>
            <w:tcW w:w="1887"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Касатонов Илья Сергеевич</w:t>
            </w:r>
          </w:p>
        </w:tc>
        <w:tc>
          <w:tcPr>
            <w:tcW w:w="2846"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Проректор по цифровой трансформации</w:t>
            </w:r>
          </w:p>
        </w:tc>
      </w:tr>
    </w:tbl>
    <w:p w:rsidR="004E57A8" w:rsidRPr="004E57A8" w:rsidRDefault="004E57A8" w:rsidP="004E57A8">
      <w:pPr>
        <w:shd w:val="clear" w:color="auto" w:fill="FFFFFF"/>
        <w:spacing w:after="0" w:line="240" w:lineRule="auto"/>
        <w:contextualSpacing/>
        <w:rPr>
          <w:rFonts w:ascii="Arial" w:hAnsi="Arial" w:cs="Arial"/>
          <w:szCs w:val="24"/>
        </w:rPr>
      </w:pPr>
      <w:r w:rsidRPr="004E57A8">
        <w:rPr>
          <w:rFonts w:ascii="Arial" w:hAnsi="Arial" w:cs="Arial"/>
          <w:b/>
          <w:bCs/>
          <w:szCs w:val="24"/>
        </w:rPr>
        <w:t>Информация о руководителях представительств образовательной организации</w:t>
      </w:r>
    </w:p>
    <w:tbl>
      <w:tblPr>
        <w:tblW w:w="4624"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477"/>
        <w:gridCol w:w="4677"/>
        <w:gridCol w:w="4536"/>
      </w:tblGrid>
      <w:tr w:rsidR="00D95C2B" w:rsidRPr="004E57A8" w:rsidTr="00D95C2B">
        <w:trPr>
          <w:tblCellSpacing w:w="0" w:type="dxa"/>
        </w:trPr>
        <w:tc>
          <w:tcPr>
            <w:tcW w:w="1864"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Представительство ТГТУ в г.Моршанске</w:t>
            </w:r>
          </w:p>
        </w:tc>
        <w:tc>
          <w:tcPr>
            <w:tcW w:w="1592"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Style w:val="head3"/>
                <w:rFonts w:ascii="Arial" w:hAnsi="Arial" w:cs="Arial"/>
                <w:szCs w:val="24"/>
              </w:rPr>
              <w:t>Бондарская Татьяна Анатольевна</w:t>
            </w:r>
          </w:p>
        </w:tc>
        <w:tc>
          <w:tcPr>
            <w:tcW w:w="1544" w:type="pct"/>
            <w:tcBorders>
              <w:top w:val="outset" w:sz="6" w:space="0" w:color="auto"/>
              <w:left w:val="outset" w:sz="6" w:space="0" w:color="auto"/>
              <w:bottom w:val="outset" w:sz="6" w:space="0" w:color="auto"/>
              <w:right w:val="outset" w:sz="6" w:space="0" w:color="auto"/>
            </w:tcBorders>
            <w:hideMark/>
          </w:tcPr>
          <w:p w:rsidR="00D95C2B" w:rsidRPr="004E57A8" w:rsidRDefault="00D95C2B" w:rsidP="004E57A8">
            <w:pPr>
              <w:spacing w:after="0" w:line="240" w:lineRule="auto"/>
              <w:contextualSpacing/>
              <w:rPr>
                <w:rFonts w:ascii="Arial" w:hAnsi="Arial" w:cs="Arial"/>
                <w:szCs w:val="24"/>
              </w:rPr>
            </w:pPr>
            <w:r w:rsidRPr="004E57A8">
              <w:rPr>
                <w:rFonts w:ascii="Arial" w:hAnsi="Arial" w:cs="Arial"/>
                <w:szCs w:val="24"/>
              </w:rPr>
              <w:t>Руководитель представительства</w:t>
            </w:r>
          </w:p>
        </w:tc>
      </w:tr>
    </w:tbl>
    <w:p w:rsidR="00243221" w:rsidRPr="004E57A8" w:rsidRDefault="00243221" w:rsidP="004E57A8">
      <w:pPr>
        <w:spacing w:after="0" w:line="240" w:lineRule="auto"/>
        <w:contextualSpacing/>
        <w:rPr>
          <w:rFonts w:ascii="Arial" w:hAnsi="Arial" w:cs="Arial"/>
          <w:szCs w:val="24"/>
        </w:rPr>
      </w:pPr>
    </w:p>
    <w:sectPr w:rsidR="00243221" w:rsidRPr="004E57A8"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648A1"/>
    <w:multiLevelType w:val="multilevel"/>
    <w:tmpl w:val="FB4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A21B9"/>
    <w:multiLevelType w:val="multilevel"/>
    <w:tmpl w:val="BEA09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37244E"/>
    <w:multiLevelType w:val="multilevel"/>
    <w:tmpl w:val="1E6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4E57A8"/>
    <w:rsid w:val="00553AA0"/>
    <w:rsid w:val="00595A02"/>
    <w:rsid w:val="00727EB8"/>
    <w:rsid w:val="00765429"/>
    <w:rsid w:val="00777841"/>
    <w:rsid w:val="00807380"/>
    <w:rsid w:val="008C09C5"/>
    <w:rsid w:val="0097184D"/>
    <w:rsid w:val="009F48C4"/>
    <w:rsid w:val="00A22E7B"/>
    <w:rsid w:val="00A23DD1"/>
    <w:rsid w:val="00BE110E"/>
    <w:rsid w:val="00C76735"/>
    <w:rsid w:val="00D95C2B"/>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D9DB"/>
  <w15:docId w15:val="{F71E0E3E-D631-415A-9896-6F97824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head3">
    <w:name w:val="head3"/>
    <w:basedOn w:val="a0"/>
    <w:rsid w:val="004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2897779">
      <w:bodyDiv w:val="1"/>
      <w:marLeft w:val="0"/>
      <w:marRight w:val="0"/>
      <w:marTop w:val="0"/>
      <w:marBottom w:val="0"/>
      <w:divBdr>
        <w:top w:val="none" w:sz="0" w:space="0" w:color="auto"/>
        <w:left w:val="none" w:sz="0" w:space="0" w:color="auto"/>
        <w:bottom w:val="none" w:sz="0" w:space="0" w:color="auto"/>
        <w:right w:val="none" w:sz="0" w:space="0" w:color="auto"/>
      </w:divBdr>
    </w:div>
    <w:div w:id="722411083">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79195425">
      <w:bodyDiv w:val="1"/>
      <w:marLeft w:val="0"/>
      <w:marRight w:val="0"/>
      <w:marTop w:val="0"/>
      <w:marBottom w:val="0"/>
      <w:divBdr>
        <w:top w:val="none" w:sz="0" w:space="0" w:color="auto"/>
        <w:left w:val="none" w:sz="0" w:space="0" w:color="auto"/>
        <w:bottom w:val="none" w:sz="0" w:space="0" w:color="auto"/>
        <w:right w:val="none" w:sz="0" w:space="0" w:color="auto"/>
      </w:divBdr>
    </w:div>
    <w:div w:id="1313871076">
      <w:bodyDiv w:val="1"/>
      <w:marLeft w:val="0"/>
      <w:marRight w:val="0"/>
      <w:marTop w:val="0"/>
      <w:marBottom w:val="0"/>
      <w:divBdr>
        <w:top w:val="none" w:sz="0" w:space="0" w:color="auto"/>
        <w:left w:val="none" w:sz="0" w:space="0" w:color="auto"/>
        <w:bottom w:val="none" w:sz="0" w:space="0" w:color="auto"/>
        <w:right w:val="none" w:sz="0" w:space="0" w:color="auto"/>
      </w:divBdr>
      <w:divsChild>
        <w:div w:id="951665433">
          <w:marLeft w:val="0"/>
          <w:marRight w:val="0"/>
          <w:marTop w:val="0"/>
          <w:marBottom w:val="0"/>
          <w:divBdr>
            <w:top w:val="none" w:sz="0" w:space="0" w:color="auto"/>
            <w:left w:val="none" w:sz="0" w:space="0" w:color="auto"/>
            <w:bottom w:val="none" w:sz="0" w:space="0" w:color="auto"/>
            <w:right w:val="none" w:sz="0" w:space="0" w:color="auto"/>
          </w:divBdr>
        </w:div>
        <w:div w:id="638804532">
          <w:marLeft w:val="0"/>
          <w:marRight w:val="0"/>
          <w:marTop w:val="0"/>
          <w:marBottom w:val="0"/>
          <w:divBdr>
            <w:top w:val="none" w:sz="0" w:space="0" w:color="auto"/>
            <w:left w:val="none" w:sz="0" w:space="0" w:color="auto"/>
            <w:bottom w:val="none" w:sz="0" w:space="0" w:color="auto"/>
            <w:right w:val="none" w:sz="0" w:space="0" w:color="auto"/>
          </w:divBdr>
        </w:div>
        <w:div w:id="130681547">
          <w:marLeft w:val="0"/>
          <w:marRight w:val="0"/>
          <w:marTop w:val="0"/>
          <w:marBottom w:val="0"/>
          <w:divBdr>
            <w:top w:val="none" w:sz="0" w:space="0" w:color="auto"/>
            <w:left w:val="none" w:sz="0" w:space="0" w:color="auto"/>
            <w:bottom w:val="none" w:sz="0" w:space="0" w:color="auto"/>
            <w:right w:val="none" w:sz="0" w:space="0" w:color="auto"/>
          </w:divBdr>
        </w:div>
        <w:div w:id="155077590">
          <w:marLeft w:val="0"/>
          <w:marRight w:val="0"/>
          <w:marTop w:val="0"/>
          <w:marBottom w:val="0"/>
          <w:divBdr>
            <w:top w:val="none" w:sz="0" w:space="0" w:color="auto"/>
            <w:left w:val="none" w:sz="0" w:space="0" w:color="auto"/>
            <w:bottom w:val="none" w:sz="0" w:space="0" w:color="auto"/>
            <w:right w:val="none" w:sz="0" w:space="0" w:color="auto"/>
          </w:divBdr>
        </w:div>
        <w:div w:id="775559952">
          <w:marLeft w:val="0"/>
          <w:marRight w:val="0"/>
          <w:marTop w:val="0"/>
          <w:marBottom w:val="0"/>
          <w:divBdr>
            <w:top w:val="none" w:sz="0" w:space="0" w:color="auto"/>
            <w:left w:val="none" w:sz="0" w:space="0" w:color="auto"/>
            <w:bottom w:val="none" w:sz="0" w:space="0" w:color="auto"/>
            <w:right w:val="none" w:sz="0" w:space="0" w:color="auto"/>
          </w:divBdr>
          <w:divsChild>
            <w:div w:id="1780417541">
              <w:marLeft w:val="0"/>
              <w:marRight w:val="0"/>
              <w:marTop w:val="0"/>
              <w:marBottom w:val="0"/>
              <w:divBdr>
                <w:top w:val="none" w:sz="0" w:space="0" w:color="auto"/>
                <w:left w:val="none" w:sz="0" w:space="0" w:color="auto"/>
                <w:bottom w:val="none" w:sz="0" w:space="0" w:color="auto"/>
                <w:right w:val="none" w:sz="0" w:space="0" w:color="auto"/>
              </w:divBdr>
            </w:div>
            <w:div w:id="876159863">
              <w:marLeft w:val="0"/>
              <w:marRight w:val="0"/>
              <w:marTop w:val="0"/>
              <w:marBottom w:val="0"/>
              <w:divBdr>
                <w:top w:val="none" w:sz="0" w:space="0" w:color="auto"/>
                <w:left w:val="none" w:sz="0" w:space="0" w:color="auto"/>
                <w:bottom w:val="none" w:sz="0" w:space="0" w:color="auto"/>
                <w:right w:val="none" w:sz="0" w:space="0" w:color="auto"/>
              </w:divBdr>
              <w:divsChild>
                <w:div w:id="925848673">
                  <w:marLeft w:val="0"/>
                  <w:marRight w:val="0"/>
                  <w:marTop w:val="0"/>
                  <w:marBottom w:val="0"/>
                  <w:divBdr>
                    <w:top w:val="none" w:sz="0" w:space="0" w:color="auto"/>
                    <w:left w:val="none" w:sz="0" w:space="0" w:color="auto"/>
                    <w:bottom w:val="none" w:sz="0" w:space="0" w:color="auto"/>
                    <w:right w:val="none" w:sz="0" w:space="0" w:color="auto"/>
                  </w:divBdr>
                </w:div>
                <w:div w:id="525677104">
                  <w:marLeft w:val="0"/>
                  <w:marRight w:val="0"/>
                  <w:marTop w:val="0"/>
                  <w:marBottom w:val="0"/>
                  <w:divBdr>
                    <w:top w:val="none" w:sz="0" w:space="0" w:color="auto"/>
                    <w:left w:val="none" w:sz="0" w:space="0" w:color="auto"/>
                    <w:bottom w:val="none" w:sz="0" w:space="0" w:color="auto"/>
                    <w:right w:val="none" w:sz="0" w:space="0" w:color="auto"/>
                  </w:divBdr>
                </w:div>
                <w:div w:id="1842237039">
                  <w:marLeft w:val="0"/>
                  <w:marRight w:val="0"/>
                  <w:marTop w:val="0"/>
                  <w:marBottom w:val="0"/>
                  <w:divBdr>
                    <w:top w:val="none" w:sz="0" w:space="0" w:color="auto"/>
                    <w:left w:val="none" w:sz="0" w:space="0" w:color="auto"/>
                    <w:bottom w:val="none" w:sz="0" w:space="0" w:color="auto"/>
                    <w:right w:val="none" w:sz="0" w:space="0" w:color="auto"/>
                  </w:divBdr>
                </w:div>
                <w:div w:id="371031242">
                  <w:marLeft w:val="0"/>
                  <w:marRight w:val="0"/>
                  <w:marTop w:val="0"/>
                  <w:marBottom w:val="0"/>
                  <w:divBdr>
                    <w:top w:val="none" w:sz="0" w:space="0" w:color="auto"/>
                    <w:left w:val="none" w:sz="0" w:space="0" w:color="auto"/>
                    <w:bottom w:val="none" w:sz="0" w:space="0" w:color="auto"/>
                    <w:right w:val="none" w:sz="0" w:space="0" w:color="auto"/>
                  </w:divBdr>
                </w:div>
                <w:div w:id="1938907219">
                  <w:marLeft w:val="0"/>
                  <w:marRight w:val="0"/>
                  <w:marTop w:val="0"/>
                  <w:marBottom w:val="0"/>
                  <w:divBdr>
                    <w:top w:val="none" w:sz="0" w:space="0" w:color="auto"/>
                    <w:left w:val="none" w:sz="0" w:space="0" w:color="auto"/>
                    <w:bottom w:val="none" w:sz="0" w:space="0" w:color="auto"/>
                    <w:right w:val="none" w:sz="0" w:space="0" w:color="auto"/>
                  </w:divBdr>
                </w:div>
                <w:div w:id="722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6618">
      <w:bodyDiv w:val="1"/>
      <w:marLeft w:val="0"/>
      <w:marRight w:val="0"/>
      <w:marTop w:val="0"/>
      <w:marBottom w:val="0"/>
      <w:divBdr>
        <w:top w:val="none" w:sz="0" w:space="0" w:color="auto"/>
        <w:left w:val="none" w:sz="0" w:space="0" w:color="auto"/>
        <w:bottom w:val="none" w:sz="0" w:space="0" w:color="auto"/>
        <w:right w:val="none" w:sz="0" w:space="0" w:color="auto"/>
      </w:divBdr>
      <w:divsChild>
        <w:div w:id="589504761">
          <w:marLeft w:val="0"/>
          <w:marRight w:val="0"/>
          <w:marTop w:val="0"/>
          <w:marBottom w:val="0"/>
          <w:divBdr>
            <w:top w:val="none" w:sz="0" w:space="0" w:color="auto"/>
            <w:left w:val="none" w:sz="0" w:space="0" w:color="auto"/>
            <w:bottom w:val="none" w:sz="0" w:space="0" w:color="auto"/>
            <w:right w:val="none" w:sz="0" w:space="0" w:color="auto"/>
          </w:divBdr>
        </w:div>
        <w:div w:id="1976836518">
          <w:marLeft w:val="0"/>
          <w:marRight w:val="0"/>
          <w:marTop w:val="0"/>
          <w:marBottom w:val="0"/>
          <w:divBdr>
            <w:top w:val="none" w:sz="0" w:space="0" w:color="auto"/>
            <w:left w:val="none" w:sz="0" w:space="0" w:color="auto"/>
            <w:bottom w:val="none" w:sz="0" w:space="0" w:color="auto"/>
            <w:right w:val="none" w:sz="0" w:space="0" w:color="auto"/>
          </w:divBdr>
        </w:div>
        <w:div w:id="1926718150">
          <w:marLeft w:val="0"/>
          <w:marRight w:val="0"/>
          <w:marTop w:val="0"/>
          <w:marBottom w:val="0"/>
          <w:divBdr>
            <w:top w:val="none" w:sz="0" w:space="0" w:color="auto"/>
            <w:left w:val="none" w:sz="0" w:space="0" w:color="auto"/>
            <w:bottom w:val="none" w:sz="0" w:space="0" w:color="auto"/>
            <w:right w:val="none" w:sz="0" w:space="0" w:color="auto"/>
          </w:divBdr>
        </w:div>
        <w:div w:id="1965383907">
          <w:marLeft w:val="0"/>
          <w:marRight w:val="0"/>
          <w:marTop w:val="0"/>
          <w:marBottom w:val="0"/>
          <w:divBdr>
            <w:top w:val="none" w:sz="0" w:space="0" w:color="auto"/>
            <w:left w:val="none" w:sz="0" w:space="0" w:color="auto"/>
            <w:bottom w:val="none" w:sz="0" w:space="0" w:color="auto"/>
            <w:right w:val="none" w:sz="0" w:space="0" w:color="auto"/>
          </w:divBdr>
        </w:div>
        <w:div w:id="276834780">
          <w:marLeft w:val="0"/>
          <w:marRight w:val="0"/>
          <w:marTop w:val="0"/>
          <w:marBottom w:val="0"/>
          <w:divBdr>
            <w:top w:val="none" w:sz="0" w:space="0" w:color="auto"/>
            <w:left w:val="none" w:sz="0" w:space="0" w:color="auto"/>
            <w:bottom w:val="none" w:sz="0" w:space="0" w:color="auto"/>
            <w:right w:val="none" w:sz="0" w:space="0" w:color="auto"/>
          </w:divBdr>
        </w:div>
        <w:div w:id="1852835157">
          <w:marLeft w:val="0"/>
          <w:marRight w:val="0"/>
          <w:marTop w:val="0"/>
          <w:marBottom w:val="0"/>
          <w:divBdr>
            <w:top w:val="none" w:sz="0" w:space="0" w:color="auto"/>
            <w:left w:val="none" w:sz="0" w:space="0" w:color="auto"/>
            <w:bottom w:val="none" w:sz="0" w:space="0" w:color="auto"/>
            <w:right w:val="none" w:sz="0" w:space="0" w:color="auto"/>
          </w:divBdr>
        </w:div>
        <w:div w:id="79261431">
          <w:marLeft w:val="0"/>
          <w:marRight w:val="0"/>
          <w:marTop w:val="0"/>
          <w:marBottom w:val="0"/>
          <w:divBdr>
            <w:top w:val="none" w:sz="0" w:space="0" w:color="auto"/>
            <w:left w:val="none" w:sz="0" w:space="0" w:color="auto"/>
            <w:bottom w:val="none" w:sz="0" w:space="0" w:color="auto"/>
            <w:right w:val="none" w:sz="0" w:space="0" w:color="auto"/>
          </w:divBdr>
        </w:div>
        <w:div w:id="427123783">
          <w:marLeft w:val="0"/>
          <w:marRight w:val="0"/>
          <w:marTop w:val="0"/>
          <w:marBottom w:val="0"/>
          <w:divBdr>
            <w:top w:val="none" w:sz="0" w:space="0" w:color="auto"/>
            <w:left w:val="none" w:sz="0" w:space="0" w:color="auto"/>
            <w:bottom w:val="none" w:sz="0" w:space="0" w:color="auto"/>
            <w:right w:val="none" w:sz="0" w:space="0" w:color="auto"/>
          </w:divBdr>
        </w:div>
        <w:div w:id="560411465">
          <w:marLeft w:val="0"/>
          <w:marRight w:val="0"/>
          <w:marTop w:val="0"/>
          <w:marBottom w:val="0"/>
          <w:divBdr>
            <w:top w:val="none" w:sz="0" w:space="0" w:color="auto"/>
            <w:left w:val="none" w:sz="0" w:space="0" w:color="auto"/>
            <w:bottom w:val="none" w:sz="0" w:space="0" w:color="auto"/>
            <w:right w:val="none" w:sz="0" w:space="0" w:color="auto"/>
          </w:divBdr>
        </w:div>
        <w:div w:id="139079785">
          <w:marLeft w:val="0"/>
          <w:marRight w:val="0"/>
          <w:marTop w:val="0"/>
          <w:marBottom w:val="0"/>
          <w:divBdr>
            <w:top w:val="none" w:sz="0" w:space="0" w:color="auto"/>
            <w:left w:val="none" w:sz="0" w:space="0" w:color="auto"/>
            <w:bottom w:val="none" w:sz="0" w:space="0" w:color="auto"/>
            <w:right w:val="none" w:sz="0" w:space="0" w:color="auto"/>
          </w:divBdr>
        </w:div>
        <w:div w:id="1224216550">
          <w:marLeft w:val="0"/>
          <w:marRight w:val="0"/>
          <w:marTop w:val="0"/>
          <w:marBottom w:val="0"/>
          <w:divBdr>
            <w:top w:val="none" w:sz="0" w:space="0" w:color="auto"/>
            <w:left w:val="none" w:sz="0" w:space="0" w:color="auto"/>
            <w:bottom w:val="none" w:sz="0" w:space="0" w:color="auto"/>
            <w:right w:val="none" w:sz="0" w:space="0" w:color="auto"/>
          </w:divBdr>
        </w:div>
        <w:div w:id="2127189495">
          <w:marLeft w:val="0"/>
          <w:marRight w:val="0"/>
          <w:marTop w:val="0"/>
          <w:marBottom w:val="0"/>
          <w:divBdr>
            <w:top w:val="none" w:sz="0" w:space="0" w:color="auto"/>
            <w:left w:val="none" w:sz="0" w:space="0" w:color="auto"/>
            <w:bottom w:val="none" w:sz="0" w:space="0" w:color="auto"/>
            <w:right w:val="none" w:sz="0" w:space="0" w:color="auto"/>
          </w:divBdr>
        </w:div>
        <w:div w:id="293171200">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04065928">
      <w:bodyDiv w:val="1"/>
      <w:marLeft w:val="0"/>
      <w:marRight w:val="0"/>
      <w:marTop w:val="0"/>
      <w:marBottom w:val="0"/>
      <w:divBdr>
        <w:top w:val="none" w:sz="0" w:space="0" w:color="auto"/>
        <w:left w:val="none" w:sz="0" w:space="0" w:color="auto"/>
        <w:bottom w:val="none" w:sz="0" w:space="0" w:color="auto"/>
        <w:right w:val="none" w:sz="0" w:space="0" w:color="auto"/>
      </w:divBdr>
    </w:div>
    <w:div w:id="213891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4537</Words>
  <Characters>25863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2024-12-13T05:33:00Z</dcterms:modified>
</cp:coreProperties>
</file>