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6" w:space="0" w:color="B7DCFF"/>
          <w:left w:val="single" w:sz="6" w:space="0" w:color="B7DCFF"/>
          <w:bottom w:val="single" w:sz="6" w:space="0" w:color="B7DCFF"/>
          <w:right w:val="single" w:sz="6" w:space="0" w:color="B7DCFF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2459"/>
      </w:tblGrid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432560" cy="1922780"/>
                  <wp:effectExtent l="0" t="0" r="0" b="0"/>
                  <wp:docPr id="10" name="Рисунок 10" descr="https://spmi.ru/sites/default/files/imci_images/univer/foto/rektor_new_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mi.ru/sites/default/files/imci_images/univer/foto/rektor_new_r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35051A" w:rsidRDefault="00D651B8" w:rsidP="0035051A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Style w:val="a4"/>
                <w:rFonts w:ascii="Arial" w:hAnsi="Arial" w:cs="Arial"/>
                <w:sz w:val="22"/>
                <w:szCs w:val="22"/>
              </w:rPr>
              <w:t>РЕКТОР</w:t>
            </w:r>
          </w:p>
          <w:p w:rsidR="00D651B8" w:rsidRPr="0035051A" w:rsidRDefault="00D651B8" w:rsidP="0035051A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Style w:val="a8"/>
                <w:rFonts w:ascii="Arial" w:hAnsi="Arial" w:cs="Arial"/>
                <w:i w:val="0"/>
                <w:sz w:val="22"/>
                <w:szCs w:val="22"/>
              </w:rPr>
              <w:t>Владимир Стефанович Литвиненко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Доктор технических наук, профессор Литвиненко Владимир Стефанович возглавляет Горный университет с июня 1994 года (повторно избран – в апреле 1999 года, мае 2004 года, апреле 2009 года,  апреле 2014 года, мае 2019 года).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Окончил Новочеркасский геологический техникум, в 1982 году закончил с отличием геологоразведочный факультет Ленинградского горного института. Работал в геологоразведочных партиях. В 1987 году защитил кандидатскую диссертацию, в 1992 году – докторскую.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Главный редактор рецензируемого научного журнала "Записки Горного института" с 1999 г.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Действительный член Международной академии наук высшей школы, академик РАЕН, РАГН, МАНЭБ.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Лауреат Государственной премии Российской Федерации в области науки и техники за «Геологический атлас России», лауреат Правительства Российской Федерации 2008 года в области науки и техники «За разработку и внедрение экологически безопасных комбинированных технологий добычи и комплексной переработки руд, обеспечивающих ввод в эксплуатацию и освоение уникального Яковлевского месторождения богатых железных руд».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Являясь с 1994 г. ректором университета сумел в сложных экономических условиях сохранить все основные направления научных исследований института и поднять их на высокий уровень.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Под руководством ректора профессора Литвиненко В.С. было продолжено совершенствование организационной структуры университета, обеспечивающей гибкость и эффективность управления, созданы новые кафедры «Геоэкология», «Разработка и эксплуатация нефтяных и газовых месторождений», «Печных технологий и переработки энергоносителей», открыта подготовка инженеров по новым перспективным специальностям «Химическая технология природных энергоносителей» и «Оборудование нефтегазопереработки», бакалавриат и магистратура по направлениям «Защита окружающей среды», «Химическая технология и биотехнология», «Экономика» и др.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Под его руководством внедрена система управления качеством на основе системы международных стандартов, в 2007 году получены сертификаты соответствия треб</w:t>
            </w:r>
            <w:bookmarkStart w:id="0" w:name="_GoBack"/>
            <w:bookmarkEnd w:id="0"/>
            <w:r w:rsidRPr="0035051A">
              <w:rPr>
                <w:rFonts w:ascii="Arial" w:hAnsi="Arial" w:cs="Arial"/>
                <w:sz w:val="22"/>
                <w:szCs w:val="22"/>
              </w:rPr>
              <w:t>ованиям ГОСТ Р ИСО 9001-2001 и IQNet ISO 9001:2000.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Под руководством Литвиненко В.С. и при его непосредственном участии осуществлен капитальный ремонт всех учебных, лабораторных и административных зданий института, создана мощная современная учебно-лабораторная база по всем направлениям подготовки специалистов, полностью завершена компьютеризация учебно-научного процесса. Завершено строительство за счет внебюджетных средств университета многофункционального комплекса, студенческого общежития, спортивно-оздоровительной базы в поселке Кавголово, реконструкция учебных полигонов в поселках Саблино, Кузьмолово, Солнечное и др.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Значительное внимание Литвиненко В.С. уделяет подготовке кадров. Им разработана Программа подготовки молодых научно-педагогических кадров по системе студент - ассистент профессора - магистр - аспирант - докторант, включая научно-производственные стажировки на лучших отечественных и зарубежных фирмах, в результате чего, только за последние годы университет пополнился 140 кандидатами наук моложе 30 лет, а преподаватели с учеными степенями и званиями превысили 93 %.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Одним из приоритетных направлений деятельности Литвиненко В.С. является организация научно-исследовательских работ, благодаря чему их объем ежегодно возрастает, составляя более 250 млн. рублей в год. Университет ежегодно успешно демонстрирует свои научные достижения на международных выставках изобретений Франции, Германии, Бельгии, Южной Кореи, Китая и других стран.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За последние годы в университете открыт Научный центр геомеханики и проблем горного производства (на базе бывшего ВНИМИ), Центр коллективного пользования, Центр инженерных изысканий и другие, которые оснащены высокотехнологичными уникальными приборами и оборудованием общей стоимостью около 2 млрд рублей.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lastRenderedPageBreak/>
              <w:t>Большое внимание Литвиненко В.С. уделяет внедрению научных достижений в образовательный процесс. В 2006 году университет вошел в число 17 вузов-победителей Приоритетного национального проекта «Образование», представив инновационную образовательную программу подготовки кадров «От экспортно-сырьевой к ресурсно-инновационной стратегии развития минерально-сырьевого комплекса» под его научным руководством. За развитие инновационной деятельности Литвиненко В.С. в 2008 году стал лауреатом премии Правительства Санкт-Петербурга за выдающиеся достижения в области высшего и среднего профессионального образования. В 2009 году Горный университет прошел конкурсный отбор и получил категорию «Национальный исследовательский университет».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Литвиненко В.С. ведет большую общественную работу, являясь членом Правительственной комиссии по вопросам ТЭК и воспроизводства минерально-сырьевой базы; членом экспертного Совета Государственной Думы Федерального собрания РФ по вопросам природопользования; руководителем межгосударственных российско-германского и российско-канадского диалогов по проблемным вопросам недропользования.</w:t>
            </w:r>
          </w:p>
          <w:p w:rsidR="0035051A" w:rsidRPr="0035051A" w:rsidRDefault="0035051A" w:rsidP="0035051A">
            <w:pPr>
              <w:pStyle w:val="rtejustify"/>
              <w:shd w:val="clear" w:color="auto" w:fill="FEFEFE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051A">
              <w:rPr>
                <w:rFonts w:ascii="Arial" w:hAnsi="Arial" w:cs="Arial"/>
                <w:sz w:val="22"/>
                <w:szCs w:val="22"/>
              </w:rPr>
              <w:t>За значительные заслуги в области науки решением Верховной комиссии по наградам Бельгии Литвиненко В.С. удостоен ордена «Командор», награжден медалью «Приз Министерства образования и науки РФ» и Почетным Знаком Федеральной службы по интеллектуальной собственности, патентам и товарным знакам. Награжден орденами Почета (1998 г.) и «За заслуги перед отечеством» IV (2003 г.) и III (2010 г.) степеней. В июне 2001 г. за огромный вклад в развитие минерально-сырьевого комплекса России Фондом общественного признания РФ награжден орденом Андрея Первозванного.</w:t>
            </w:r>
          </w:p>
          <w:p w:rsidR="0035051A" w:rsidRPr="0035051A" w:rsidRDefault="0035051A" w:rsidP="0035051A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9" name="Рисунок 9" descr="https://spmi.ru/sites/default/files/imci_images/univer/foto/pashkevich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mi.ru/sites/default/files/imci_images/univer/foto/pashkevich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Заместитель ректора - первый проректор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Пашкевич Наталья Владимировна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профессор, доктор экономических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8" name="Рисунок 8" descr="https://spmi.ru/sites/default/files/imci_images/univer/foto/suslov2%20%281%29%20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pmi.ru/sites/default/files/imci_images/univer/foto/suslov2%20%281%29%20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Проректор по эксплуатации и развитию имущественного комплекса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Суслов Анатолий Павлович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кандидат технических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432560" cy="1989357"/>
                  <wp:effectExtent l="0" t="0" r="0" b="0"/>
                  <wp:docPr id="7" name="Рисунок 7" descr="https://spmi.ru/sites/default/files/imci_images/univer/foto/2024/prischepa_om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pmi.ru/sites/default/files/imci_images/univer/foto/2024/prischepa_om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885" cy="200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Проректор по научной деятельности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Прищепа Олег Михайлович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профессор, доктор геолого-минералогических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432560" cy="2045335"/>
                  <wp:effectExtent l="0" t="0" r="0" b="0"/>
                  <wp:docPr id="6" name="Рисунок 6" descr="https://spmi.ru/sites/default/files/imci_images/education/neftegazovy_facultet/petrako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pmi.ru/sites/default/files/imci_images/education/neftegazovy_facultet/petrako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Проректор по образовательной деятельности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Петраков Дмитрий Геннадьевич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доцент, кандидат технических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alt="" style="width:115.05pt;height:158.1pt"/>
              </w:pict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Проректор по специальным программам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Рудаков Марат Леонидович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профессор, доктор технических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432560" cy="1904365"/>
                  <wp:effectExtent l="0" t="0" r="0" b="0"/>
                  <wp:docPr id="5" name="Рисунок 5" descr="https://spmi.ru/sites/default/files/imci_images/univer/foto/lyubin_e.a_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pmi.ru/sites/default/files/imci_images/univer/foto/lyubin_e.a_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Проректор по международной деятельности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Любин Евгений Анатольевич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доцент, кандидат технических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4" name="Рисунок 4" descr="https://spmi.ru/sites/default/files/imci_images/univer/foto/borzenkov1%20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pmi.ru/sites/default/files/imci_images/univer/foto/borzenkov1%20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Генеральный директор Центра ЮНЕСКО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Борзенков Владимир Тихонович</w:t>
            </w:r>
          </w:p>
          <w:p w:rsidR="00D651B8" w:rsidRPr="00D651B8" w:rsidRDefault="00D651B8" w:rsidP="00D651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кандидат технических наук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3" name="Рисунок 3" descr="https://spmi.ru/sites/default/files/imci_images/univer/foto/alymkulov%20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pmi.ru/sites/default/files/imci_images/univer/foto/alymkulov%20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Проректор по ремонту и реконструкции - начальник ремонтно-строительного управления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Алымкулов Талантбек Курмушевич</w:t>
            </w: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432560" cy="2007870"/>
                  <wp:effectExtent l="0" t="0" r="0" b="0"/>
                  <wp:docPr id="2" name="Рисунок 2" descr="https://spmi.ru/sites/default/files/imci_images/univer/foto/hloponina_vs_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pmi.ru/sites/default/files/imci_images/univer/foto/hloponina_vs_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Главный ученый секретарь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Хлопонина Вера Сергеевна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sz w:val="27"/>
                <w:szCs w:val="27"/>
              </w:rPr>
              <w:t>кандидат экономических наук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D651B8" w:rsidRPr="00D651B8" w:rsidTr="005D1367">
        <w:tc>
          <w:tcPr>
            <w:tcW w:w="2850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spacing w:after="0" w:line="240" w:lineRule="auto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Fonts w:ascii="Arial" w:hAnsi="Arial" w:cs="Arial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432560" cy="1960880"/>
                  <wp:effectExtent l="0" t="0" r="0" b="0"/>
                  <wp:docPr id="1" name="Рисунок 1" descr="https://spmi.ru/sites/default/files/imci_images/univer/foto/Selezneva_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pmi.ru/sites/default/files/imci_images/univer/foto/Selezneva_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9" w:type="dxa"/>
            <w:tcBorders>
              <w:top w:val="single" w:sz="6" w:space="0" w:color="B7DCFF"/>
              <w:left w:val="single" w:sz="6" w:space="0" w:color="B7DCFF"/>
              <w:bottom w:val="single" w:sz="6" w:space="0" w:color="B7DCFF"/>
              <w:right w:val="single" w:sz="6" w:space="0" w:color="B7DCFF"/>
            </w:tcBorders>
            <w:shd w:val="clear" w:color="auto" w:fill="FDFDFE"/>
            <w:hideMark/>
          </w:tcPr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4"/>
                <w:rFonts w:ascii="Arial" w:hAnsi="Arial" w:cs="Arial"/>
                <w:sz w:val="27"/>
                <w:szCs w:val="27"/>
              </w:rPr>
              <w:t>Главный бухгалтер</w:t>
            </w:r>
          </w:p>
          <w:p w:rsidR="00D651B8" w:rsidRPr="00D651B8" w:rsidRDefault="00D651B8" w:rsidP="00D651B8">
            <w:pPr>
              <w:pStyle w:val="text-align-center"/>
              <w:spacing w:before="0" w:beforeAutospacing="0" w:after="0" w:afterAutospacing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D651B8">
              <w:rPr>
                <w:rStyle w:val="a8"/>
                <w:rFonts w:ascii="Arial" w:hAnsi="Arial" w:cs="Arial"/>
                <w:i w:val="0"/>
                <w:sz w:val="27"/>
                <w:szCs w:val="27"/>
              </w:rPr>
              <w:t>Селезнева Елена Валерьевна</w:t>
            </w:r>
          </w:p>
        </w:tc>
      </w:tr>
    </w:tbl>
    <w:p w:rsidR="00D651B8" w:rsidRPr="00D651B8" w:rsidRDefault="00D651B8" w:rsidP="00D651B8">
      <w:pPr>
        <w:pStyle w:val="a3"/>
        <w:shd w:val="clear" w:color="auto" w:fill="FDFDFE"/>
        <w:spacing w:before="0" w:beforeAutospacing="0" w:after="0" w:afterAutospacing="0"/>
        <w:contextualSpacing/>
        <w:rPr>
          <w:rFonts w:ascii="Arial" w:hAnsi="Arial" w:cs="Arial"/>
        </w:rPr>
      </w:pPr>
      <w:r w:rsidRPr="00D651B8">
        <w:rPr>
          <w:rFonts w:ascii="Arial" w:hAnsi="Arial" w:cs="Arial"/>
        </w:rPr>
        <w:t> </w:t>
      </w:r>
    </w:p>
    <w:p w:rsidR="00243221" w:rsidRPr="00D651B8" w:rsidRDefault="00243221" w:rsidP="00D651B8">
      <w:pPr>
        <w:spacing w:after="0" w:line="240" w:lineRule="auto"/>
        <w:contextualSpacing/>
      </w:pPr>
    </w:p>
    <w:sectPr w:rsidR="00243221" w:rsidRPr="00D651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F6B"/>
    <w:rsid w:val="00091401"/>
    <w:rsid w:val="000C6BEC"/>
    <w:rsid w:val="001C34A2"/>
    <w:rsid w:val="00243221"/>
    <w:rsid w:val="0025133F"/>
    <w:rsid w:val="0033018F"/>
    <w:rsid w:val="0035051A"/>
    <w:rsid w:val="003D090D"/>
    <w:rsid w:val="0044446C"/>
    <w:rsid w:val="004E4A62"/>
    <w:rsid w:val="00553AA0"/>
    <w:rsid w:val="00595A02"/>
    <w:rsid w:val="005D136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1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6C2"/>
  <w15:docId w15:val="{434ADDA4-D800-42EA-8DAE-F8F41024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center">
    <w:name w:val="text-align-center"/>
    <w:basedOn w:val="a"/>
    <w:rsid w:val="00D651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D651B8"/>
    <w:rPr>
      <w:i/>
      <w:iCs/>
    </w:rPr>
  </w:style>
  <w:style w:type="paragraph" w:customStyle="1" w:styleId="rtejustify">
    <w:name w:val="rtejustify"/>
    <w:basedOn w:val="a"/>
    <w:rsid w:val="003505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2024-12-06T05:43:00Z</dcterms:modified>
</cp:coreProperties>
</file>