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F1" w:rsidRDefault="000344F1" w:rsidP="007731D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64C4F"/>
          <w:sz w:val="21"/>
          <w:szCs w:val="21"/>
          <w:lang w:eastAsia="ru-RU"/>
        </w:rPr>
      </w:pPr>
      <w:r w:rsidRPr="000344F1">
        <w:rPr>
          <w:rFonts w:ascii="Arial" w:hAnsi="Arial" w:cs="Arial"/>
          <w:color w:val="464C4F"/>
          <w:sz w:val="21"/>
          <w:szCs w:val="21"/>
          <w:lang w:eastAsia="ru-RU"/>
        </w:rPr>
        <w:drawing>
          <wp:inline distT="0" distB="0" distL="0" distR="0" wp14:anchorId="7AD8FBD9" wp14:editId="507C528E">
            <wp:extent cx="2514951" cy="271500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F1" w:rsidRDefault="000344F1" w:rsidP="007731D6">
      <w:pPr>
        <w:shd w:val="clear" w:color="auto" w:fill="FFFFFF"/>
        <w:spacing w:after="0" w:line="240" w:lineRule="auto"/>
        <w:contextualSpacing/>
        <w:rPr>
          <w:rFonts w:ascii="inherit" w:hAnsi="inherit" w:cs="Arial"/>
          <w:color w:val="0067B1"/>
          <w:sz w:val="45"/>
          <w:szCs w:val="45"/>
        </w:rPr>
      </w:pPr>
      <w:r>
        <w:rPr>
          <w:rFonts w:ascii="inherit" w:hAnsi="inherit" w:cs="Arial"/>
          <w:color w:val="0067B1"/>
          <w:sz w:val="45"/>
          <w:szCs w:val="45"/>
        </w:rPr>
        <w:t>Коробец Борис Николаевич</w:t>
      </w:r>
    </w:p>
    <w:p w:rsidR="000344F1" w:rsidRDefault="000344F1" w:rsidP="007731D6">
      <w:pPr>
        <w:shd w:val="clear" w:color="auto" w:fill="FFFFFF"/>
        <w:spacing w:after="0" w:line="240" w:lineRule="auto"/>
        <w:contextualSpacing/>
        <w:rPr>
          <w:rFonts w:ascii="inherit" w:hAnsi="inherit" w:cs="Arial"/>
          <w:color w:val="464C4F"/>
          <w:sz w:val="32"/>
          <w:szCs w:val="32"/>
        </w:rPr>
      </w:pPr>
      <w:r>
        <w:rPr>
          <w:rFonts w:ascii="inherit" w:hAnsi="inherit" w:cs="Arial"/>
          <w:color w:val="464C4F"/>
          <w:sz w:val="32"/>
          <w:szCs w:val="32"/>
        </w:rPr>
        <w:t>Ректор</w:t>
      </w:r>
    </w:p>
    <w:p w:rsidR="000344F1" w:rsidRDefault="000344F1" w:rsidP="007731D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br/>
        <w:t>Родился 1 декабря 1982 года. В 2004 году окончил Московский государственный технический университет имени Н.Э. Баумана по специальности «Юриспруденция» (диплом с отличием). После чего продолжил работу на кафедре в качестве преподавателя. В 2007 году защитил диссертацию на соискание ученой степени кандидата юридических наук. В 2011 году окончил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 (диплом с отличием) и в 2016 году окончил МГТУ им. Н.Э. Баумана по направлению подготовки «Организация и управление наукоемкими производствами» (диплом с отличием). В 2017 году защитил докторскую диссертацию, посвященную математическому моделированию эффективного формирования научно-технических программ.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С 2004 года занимался научно-исследовательской и преподавательской деятельностью в МГТУ им. Баумана, в 2007 году был избран на должность заведующего кафедрой «Управление интеллектуальной собственностью». На возглавляемой кафедре впервые в России были реализованы инженерная магистратура по направлению управления интеллектуальной собственностью и образовательная программа по цифровой криминалистике.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Борис Коробец подготовил более 60 научных и учебно-методических работ в сфере математического моделирования, управления интеллектуальной собственностью и научно-техническими программами. Руководил 15 научно-исследовательскими проектами.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В 2014 году возглавил Научно-образовательный центр «Инновационное предпринимательство и управление интеллектуальной собственностью», разработал и внедрил систему управления интеллектуальной собственностью в деятельность МГТУ им. Н.Э. Баумана.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С 2018 года был назначен на должность проректора МГТУ им. Н.Э. Баумана. В рамках административной работы в университете разработал и реализовал стратегию развития информационных технологий университета, был куратором работы по созданию и проектированию нового кампуса, руководил разработкой стратегии развития МГТУ им. Н.Э. Баумана и курировал подготовку заявки университета в рамках программы стратегического академического лидерства «Приоритет 2030». По итогам конкурсного отбора МГТУ вошёл в число лидеров программы (первая группа трека «Исследовательское лидерство»).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Выпускник Школы ректоров Сколково.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В 2021 году возглавил крупнейший вуз в ДФО. Распоряжением Председателя Правительства РФ Михаила Мишустина назначен ректором Дальневосточного федерального университета.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 xml:space="preserve">Является членом Совета при Президенте Российской Федерации по науке и образованию, членом Совета по вопросам интеллектуальной собственности при Совете Федерации Федерального Собрания Российской Федерации, членом ВАК при Минобрнауки РФ. Председатель Совета ректоров вузов ДФО, </w:t>
      </w:r>
      <w:r>
        <w:rPr>
          <w:rFonts w:ascii="Arial" w:hAnsi="Arial" w:cs="Arial"/>
          <w:color w:val="464C4F"/>
          <w:sz w:val="21"/>
          <w:szCs w:val="21"/>
        </w:rPr>
        <w:lastRenderedPageBreak/>
        <w:t>председатель регионального отделения Российского общества «Знание», эксперт рабочей группы «Профессиональное образование, рынок труда и миграция» в рамках Экспертного совета при Правительстве РФ и ряда других экспертных органов.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Участвовал в разработке Стратегии научно-технологического развития Российской Федерации, входил в состав оргкомитета программы XIX Всемирного фестиваля молодежи и студентов (2017 год, Россия), член инициативной группы по созданию трека «Наука» всероссийского конкурса управленцев «Лидеры России».</w:t>
      </w:r>
    </w:p>
    <w:p w:rsidR="000344F1" w:rsidRDefault="000344F1" w:rsidP="007731D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C4F"/>
          <w:sz w:val="21"/>
          <w:szCs w:val="21"/>
        </w:rPr>
      </w:pPr>
      <w:r>
        <w:rPr>
          <w:rFonts w:ascii="Arial" w:hAnsi="Arial" w:cs="Arial"/>
          <w:color w:val="464C4F"/>
          <w:sz w:val="21"/>
          <w:szCs w:val="21"/>
        </w:rPr>
        <w:t>Награжден Благодарностью Министерства науки и высшего образования Российской Федерации, благодарностью Председателя Совета Федерации Федерального Собрания Российской Федерации, почетной грамотой Министерства образования и науки Российской Федерации «За многолетнюю плодотворную работу по развитию и совершенствованию учебного процесса, значительный вклад в дело подготовки высококвалифицированных специалистов».</w:t>
      </w:r>
    </w:p>
    <w:p w:rsidR="00243221" w:rsidRDefault="00243221" w:rsidP="007731D6">
      <w:pPr>
        <w:spacing w:after="0" w:line="240" w:lineRule="auto"/>
        <w:contextualSpacing/>
      </w:pPr>
    </w:p>
    <w:p w:rsidR="007731D6" w:rsidRDefault="007731D6" w:rsidP="007731D6">
      <w:pPr>
        <w:spacing w:after="0" w:line="240" w:lineRule="auto"/>
        <w:contextualSpacing/>
      </w:pPr>
      <w:r>
        <w:br w:type="page"/>
      </w:r>
    </w:p>
    <w:p w:rsidR="007731D6" w:rsidRDefault="007731D6" w:rsidP="007731D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67B1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0067B1"/>
          <w:sz w:val="35"/>
          <w:szCs w:val="35"/>
        </w:rPr>
        <w:lastRenderedPageBreak/>
        <w:t>Сведения о ректоре ДВФУ, его заместителях – проректорах</w:t>
      </w:r>
    </w:p>
    <w:p w:rsidR="007731D6" w:rsidRDefault="007731D6" w:rsidP="007731D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64C4F"/>
          <w:sz w:val="21"/>
          <w:szCs w:val="21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6"/>
        <w:gridCol w:w="8403"/>
      </w:tblGrid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Коробец Борис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Ректор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Гаффорова Елена Борисовна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4CB95556" wp14:editId="58DFE8E4">
                  <wp:extent cx="2335709" cy="25640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32" cy="258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учебной работе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Нелюб Владимир Александрович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2EFCFC40" wp14:editId="3D55AFD9">
                  <wp:extent cx="2375554" cy="28128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770" cy="2827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научной работе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lastRenderedPageBreak/>
              <w:t>Ведяшкин Максим Викторович</w:t>
            </w:r>
          </w:p>
          <w:p w:rsidR="00DD316D" w:rsidRDefault="00DD316D" w:rsidP="007731D6">
            <w:pPr>
              <w:spacing w:after="0" w:line="240" w:lineRule="auto"/>
              <w:contextualSpacing/>
            </w:pPr>
            <w:r w:rsidRPr="00DD316D">
              <w:drawing>
                <wp:inline distT="0" distB="0" distL="0" distR="0" wp14:anchorId="149BC732" wp14:editId="1DCCC548">
                  <wp:extent cx="2588414" cy="296001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625" cy="298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управлению кампусом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Моисеенко Элеонора Леоновна</w:t>
            </w:r>
          </w:p>
          <w:p w:rsidR="00DD316D" w:rsidRDefault="00DD316D" w:rsidP="007731D6">
            <w:pPr>
              <w:spacing w:after="0" w:line="240" w:lineRule="auto"/>
              <w:contextualSpacing/>
            </w:pPr>
            <w:r w:rsidRPr="00DD316D">
              <w:drawing>
                <wp:inline distT="0" distB="0" distL="0" distR="0" wp14:anchorId="44B1A506" wp14:editId="090D25D6">
                  <wp:extent cx="2588260" cy="302432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662" cy="305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экономике и финансам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lastRenderedPageBreak/>
              <w:t>Власов Евгений Евгеньевич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66791268" wp14:editId="5881FF1D">
                  <wp:extent cx="2758041" cy="28280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660" cy="285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международным отношениям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Гринина Лариса Адамовна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16381BEF" wp14:editId="5572D697">
                  <wp:extent cx="2737852" cy="30542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068" cy="307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административной и правовой работе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lastRenderedPageBreak/>
              <w:t>Кайданович Александр Юрьевич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5AE79D43" wp14:editId="5BC31B14">
                  <wp:extent cx="2588223" cy="26960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472" cy="272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молодёжной политике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Кривопал Михаил Юрьевич</w:t>
            </w:r>
          </w:p>
          <w:p w:rsidR="00DD316D" w:rsidRDefault="00DD316D" w:rsidP="007731D6">
            <w:pPr>
              <w:spacing w:after="0" w:line="240" w:lineRule="auto"/>
              <w:contextualSpacing/>
            </w:pPr>
            <w:r w:rsidRPr="00DD316D">
              <w:drawing>
                <wp:inline distT="0" distB="0" distL="0" distR="0" wp14:anchorId="1BEAEE67" wp14:editId="2FB23B1A">
                  <wp:extent cx="2587625" cy="3381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114" cy="33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Проректор по дополнительному образованию</w:t>
            </w:r>
          </w:p>
        </w:tc>
      </w:tr>
      <w:tr w:rsidR="00271E8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lastRenderedPageBreak/>
              <w:t>Харисова Елена Владимировна</w:t>
            </w:r>
          </w:p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drawing>
                <wp:inline distT="0" distB="0" distL="0" distR="0" wp14:anchorId="0366D25D" wp14:editId="2C338412">
                  <wp:extent cx="2603550" cy="285632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896" cy="288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E8C" w:rsidRDefault="00080E8C" w:rsidP="007731D6">
            <w:pPr>
              <w:spacing w:after="0" w:line="240" w:lineRule="auto"/>
              <w:contextualSpacing/>
            </w:pPr>
            <w:r w:rsidRPr="00080E8C">
              <w:t>Проректор по развитию</w:t>
            </w:r>
          </w:p>
        </w:tc>
      </w:tr>
      <w:tr w:rsidR="00204DD2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Мушатенко Андрей Владимирович</w:t>
            </w:r>
          </w:p>
          <w:p w:rsidR="00EF5EEE" w:rsidRDefault="00271E86" w:rsidP="007731D6">
            <w:pPr>
              <w:spacing w:after="0" w:line="240" w:lineRule="auto"/>
              <w:contextualSpacing/>
            </w:pPr>
            <w:r w:rsidRPr="00271E86">
              <w:drawing>
                <wp:inline distT="0" distB="0" distL="0" distR="0" wp14:anchorId="7BF992B3" wp14:editId="679A1262">
                  <wp:extent cx="2603500" cy="271197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674" cy="2726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Директор по цифровой трансформации</w:t>
            </w:r>
          </w:p>
        </w:tc>
      </w:tr>
    </w:tbl>
    <w:p w:rsidR="007731D6" w:rsidRDefault="007731D6" w:rsidP="007731D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67B1"/>
          <w:sz w:val="35"/>
          <w:szCs w:val="35"/>
        </w:rPr>
      </w:pPr>
      <w:bookmarkStart w:id="0" w:name="_GoBack"/>
      <w:bookmarkEnd w:id="0"/>
    </w:p>
    <w:p w:rsidR="007731D6" w:rsidRDefault="007731D6">
      <w:pPr>
        <w:spacing w:after="0" w:line="240" w:lineRule="auto"/>
        <w:rPr>
          <w:rFonts w:ascii="Arial" w:eastAsiaTheme="majorEastAsia" w:hAnsi="Arial" w:cs="Arial"/>
          <w:color w:val="0067B1"/>
          <w:sz w:val="35"/>
          <w:szCs w:val="35"/>
        </w:rPr>
      </w:pPr>
      <w:r>
        <w:rPr>
          <w:rFonts w:ascii="Arial" w:hAnsi="Arial" w:cs="Arial"/>
          <w:b/>
          <w:bCs/>
          <w:color w:val="0067B1"/>
          <w:sz w:val="35"/>
          <w:szCs w:val="35"/>
        </w:rPr>
        <w:br w:type="page"/>
      </w:r>
    </w:p>
    <w:p w:rsidR="007731D6" w:rsidRDefault="007731D6" w:rsidP="007731D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67B1"/>
          <w:sz w:val="35"/>
          <w:szCs w:val="35"/>
        </w:rPr>
      </w:pPr>
      <w:r>
        <w:rPr>
          <w:rFonts w:ascii="Arial" w:hAnsi="Arial" w:cs="Arial"/>
          <w:b w:val="0"/>
          <w:bCs w:val="0"/>
          <w:color w:val="0067B1"/>
          <w:sz w:val="35"/>
          <w:szCs w:val="35"/>
        </w:rPr>
        <w:lastRenderedPageBreak/>
        <w:t>Сведения о директорах филиалов и представительств</w:t>
      </w:r>
    </w:p>
    <w:p w:rsidR="007731D6" w:rsidRDefault="007731D6" w:rsidP="007731D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64C4F"/>
          <w:sz w:val="21"/>
          <w:szCs w:val="21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4249"/>
        <w:gridCol w:w="5079"/>
      </w:tblGrid>
      <w:tr w:rsidR="007731D6" w:rsidTr="007731D6">
        <w:tc>
          <w:tcPr>
            <w:tcW w:w="2207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7731D6" w:rsidRDefault="007731D6" w:rsidP="007731D6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  <w:r>
              <w:rPr>
                <w:rStyle w:val="a4"/>
              </w:rPr>
              <w:t>Наименование филиала</w:t>
            </w:r>
          </w:p>
        </w:tc>
        <w:tc>
          <w:tcPr>
            <w:tcW w:w="2531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7731D6" w:rsidRDefault="007731D6" w:rsidP="007731D6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rStyle w:val="a4"/>
              </w:rPr>
              <w:t>Местонахождение</w:t>
            </w:r>
          </w:p>
        </w:tc>
        <w:tc>
          <w:tcPr>
            <w:tcW w:w="2946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7731D6" w:rsidRDefault="007731D6" w:rsidP="007731D6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rStyle w:val="a4"/>
              </w:rPr>
              <w:t>Ф.И.О. руководителя, должность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Представительство в г. Москве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123112, г. Москва, Пресненская набережная, дом № 12, офис 6-7 (28 этаж)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Мищенко Юлия Витальевна, руководитель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Представительство в г. Ханой (Вьетнам)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Социалистическая республика Вьетнам, г. Ханой, Суан Тхуи, 144.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Нгуен Ань Нам, директор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Представительство ДВФУ в г. Гуаякиле, Республика Эквадор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Республика Эквадор, г. Гуаякиль, Виа Периметрал 30,5, кампус Густаво Галиндо Веласко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Власов Евгений Евгеньевич, проректор по международным отношениям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Представительство ДВФУ в г. Пекине, КНР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Китайская Народная Республика, г. Пекин, район Дунчэн, ул. Чжан Цзы Чжун, 3, каб. 161-163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Власов Евгений Евгеньевич, проректор по международным отношениям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Представительство ДВФУ в Республике Индия (г. Нью-Дели)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110024, Республика Индия, г. Нью-Дели, район Дефенс Колони, Квартал С, д. Е-21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Власов Евгений Евгеньевич, проректор по международным отношениям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Филиал федерального государственного автономного образовательного учреждения высшего образования «Дальневосточный федеральный университет» в г. Арсеньеве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692337, Приморский край, г. Арсеньев, ул. Ломоносова, д. 26.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Филимонов Вячеслав Алексеевич, заместитель проректора по учебной работе (оперативное управление)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Филиал федерального государственного автономного образовательного учреждения высшего образования «Дальневосточный федеральный университет» в г. Находке.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692918, Приморский край, г. Находка, ул. Спортивная, д. 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Филимонов Вячеслав Алексеевич, заместитель проректора по учебной работе (оперативное управление)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Филиал федерального государственного автономного образовательного учреждения высшего образования «Дальневосточный федеральный университет» в г. Уссурийске.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692519, Приморский край, г. Уссурийск, ул. Некрасова, д.35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Филимонов Вячеслав Алексеевич, заместитель проректора по учебной работе (оперативное управление)</w:t>
            </w:r>
          </w:p>
        </w:tc>
      </w:tr>
      <w:tr w:rsidR="007731D6" w:rsidTr="007731D6"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lastRenderedPageBreak/>
              <w:t>Филиал федерального государственного автономного образовательного учреждения высшего образования «Дальневосточный федеральный университет» в г. Хакодатэ, Япония.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040 - 0054, Япония, Хоккайдо, г. Хакодатэ, Мотомачи 14-1.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31D6" w:rsidRDefault="007731D6" w:rsidP="007731D6">
            <w:pPr>
              <w:spacing w:after="0" w:line="240" w:lineRule="auto"/>
              <w:contextualSpacing/>
            </w:pPr>
            <w:r>
              <w:t>Смирнов Никита Сергеевич, заместитель проректора по международным отношениям (оперативный руководитель)</w:t>
            </w:r>
          </w:p>
        </w:tc>
      </w:tr>
    </w:tbl>
    <w:p w:rsidR="000344F1" w:rsidRPr="001C34A2" w:rsidRDefault="000344F1" w:rsidP="007731D6">
      <w:pPr>
        <w:spacing w:after="0" w:line="240" w:lineRule="auto"/>
        <w:contextualSpacing/>
      </w:pPr>
    </w:p>
    <w:sectPr w:rsidR="000344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478"/>
    <w:multiLevelType w:val="multilevel"/>
    <w:tmpl w:val="F7A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F7214"/>
    <w:multiLevelType w:val="multilevel"/>
    <w:tmpl w:val="62A4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4F1"/>
    <w:rsid w:val="0004302E"/>
    <w:rsid w:val="00080E8C"/>
    <w:rsid w:val="00091401"/>
    <w:rsid w:val="001C34A2"/>
    <w:rsid w:val="00204DD2"/>
    <w:rsid w:val="00243221"/>
    <w:rsid w:val="0025133F"/>
    <w:rsid w:val="00271E86"/>
    <w:rsid w:val="0033018F"/>
    <w:rsid w:val="003D090D"/>
    <w:rsid w:val="0044446C"/>
    <w:rsid w:val="004E4A62"/>
    <w:rsid w:val="00553AA0"/>
    <w:rsid w:val="00595A02"/>
    <w:rsid w:val="00727EB8"/>
    <w:rsid w:val="00765429"/>
    <w:rsid w:val="007731D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16D"/>
    <w:rsid w:val="00EF5E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2E60"/>
  <w15:docId w15:val="{51A510B4-5992-4B0A-90B0-7F3F7B6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0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6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9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42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96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35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5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0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16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6049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1415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16405">
              <w:marLeft w:val="0"/>
              <w:marRight w:val="0"/>
              <w:marTop w:val="0"/>
              <w:marBottom w:val="0"/>
              <w:divBdr>
                <w:top w:val="single" w:sz="6" w:space="0" w:color="D1DBE4"/>
                <w:left w:val="single" w:sz="6" w:space="0" w:color="D1DBE4"/>
                <w:bottom w:val="single" w:sz="6" w:space="0" w:color="D1DBE4"/>
                <w:right w:val="single" w:sz="6" w:space="0" w:color="D1DBE4"/>
              </w:divBdr>
              <w:divsChild>
                <w:div w:id="16356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2024-11-27T05:56:00Z</dcterms:modified>
</cp:coreProperties>
</file>