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75" w:rsidRDefault="00B56875" w:rsidP="00CE7BD6">
      <w:pPr>
        <w:pStyle w:val="1"/>
        <w:shd w:val="clear" w:color="auto" w:fill="FFFFFF"/>
        <w:spacing w:before="0" w:line="240" w:lineRule="auto"/>
        <w:rPr>
          <w:rFonts w:ascii="OpenSans" w:hAnsi="OpenSans"/>
          <w:color w:val="595959"/>
          <w:sz w:val="21"/>
          <w:szCs w:val="21"/>
          <w:lang w:eastAsia="ru-RU"/>
        </w:rPr>
      </w:pPr>
      <w:r>
        <w:rPr>
          <w:rStyle w:val="subheading-category"/>
          <w:rFonts w:ascii="OpenSans" w:hAnsi="OpenSans"/>
          <w:color w:val="595959"/>
          <w:sz w:val="21"/>
          <w:szCs w:val="21"/>
        </w:rPr>
        <w:t>Ректорат</w:t>
      </w:r>
    </w:p>
    <w:p w:rsidR="00B56875" w:rsidRDefault="00B56875" w:rsidP="00CE7BD6">
      <w:pPr>
        <w:shd w:val="clear" w:color="auto" w:fill="FFFFFF"/>
        <w:spacing w:after="0" w:line="240" w:lineRule="auto"/>
        <w:rPr>
          <w:rFonts w:ascii="OpenSans" w:hAnsi="OpenSans"/>
          <w:color w:val="404040"/>
          <w:sz w:val="20"/>
          <w:szCs w:val="20"/>
        </w:rPr>
      </w:pPr>
    </w:p>
    <w:tbl>
      <w:tblPr>
        <w:tblW w:w="1555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5005"/>
        <w:gridCol w:w="2036"/>
        <w:gridCol w:w="6468"/>
      </w:tblGrid>
      <w:tr w:rsidR="00B56875" w:rsidTr="00B56875">
        <w:trPr>
          <w:tblCellSpacing w:w="7" w:type="dxa"/>
          <w:jc w:val="center"/>
        </w:trPr>
        <w:tc>
          <w:tcPr>
            <w:tcW w:w="1710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5530" cy="1376045"/>
                  <wp:effectExtent l="0" t="0" r="0" b="0"/>
                  <wp:docPr id="5" name="Рисунок 5" descr="http://www.psu.ru/files/images/ob-universitete/rektorat/iagerm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su.ru/files/images/ob-universitete/rektorat/iagerm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Style w:val="a4"/>
                <w:rFonts w:ascii="OpenSans" w:hAnsi="OpenSans"/>
                <w:sz w:val="20"/>
                <w:szCs w:val="20"/>
              </w:rPr>
              <w:t>Ректор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5530" cy="1376045"/>
                  <wp:effectExtent l="0" t="0" r="0" b="0"/>
                  <wp:docPr id="4" name="Рисунок 4" descr="http://www.psu.ru/files/images/ob-universitete/rektorat/Malan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su.ru/files/images/ob-universitete/rektorat/Malan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Style w:val="a4"/>
                <w:rFonts w:ascii="OpenSans" w:hAnsi="OpenSans"/>
                <w:sz w:val="20"/>
                <w:szCs w:val="20"/>
              </w:rPr>
              <w:t>Президент</w:t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 w:rsidRPr="00B56875">
              <w:rPr>
                <w:rFonts w:ascii="OpenSans" w:hAnsi="OpenSans"/>
                <w:sz w:val="20"/>
                <w:szCs w:val="20"/>
              </w:rPr>
              <w:t>Игорь Анатольевич Германов</w:t>
            </w:r>
            <w:r>
              <w:rPr>
                <w:rFonts w:ascii="OpenSans" w:hAnsi="OpenSans"/>
                <w:sz w:val="20"/>
                <w:szCs w:val="20"/>
              </w:rPr>
              <w:t>,</w:t>
            </w:r>
            <w:r>
              <w:rPr>
                <w:rFonts w:ascii="OpenSans" w:hAnsi="OpenSans"/>
                <w:sz w:val="20"/>
                <w:szCs w:val="20"/>
              </w:rPr>
              <w:br/>
              <w:t>кандидат социологических наук, доцент</w:t>
            </w:r>
            <w:r>
              <w:rPr>
                <w:rFonts w:ascii="OpenSans" w:hAnsi="OpenSans"/>
                <w:sz w:val="20"/>
                <w:szCs w:val="20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 w:rsidRPr="00B56875">
              <w:rPr>
                <w:rFonts w:ascii="OpenSans" w:hAnsi="OpenSans"/>
                <w:sz w:val="20"/>
                <w:szCs w:val="20"/>
              </w:rPr>
              <w:t>Владимир Владимирович Маланин,</w:t>
            </w:r>
            <w:r>
              <w:rPr>
                <w:rFonts w:ascii="OpenSans" w:hAnsi="OpenSans"/>
                <w:sz w:val="20"/>
                <w:szCs w:val="20"/>
              </w:rPr>
              <w:br/>
              <w:t>доктор технических наук, профессор</w:t>
            </w:r>
            <w:r>
              <w:rPr>
                <w:rFonts w:ascii="OpenSans" w:hAnsi="OpenSans"/>
                <w:sz w:val="20"/>
                <w:szCs w:val="20"/>
              </w:rPr>
              <w:t>,</w:t>
            </w:r>
            <w:r>
              <w:rPr>
                <w:rFonts w:ascii="OpenSans" w:hAnsi="OpenSans"/>
                <w:sz w:val="20"/>
                <w:szCs w:val="20"/>
              </w:rPr>
              <w:br/>
              <w:t>заслуженный деятель науки РФ</w:t>
            </w:r>
            <w:r>
              <w:rPr>
                <w:rFonts w:ascii="OpenSans" w:hAnsi="OpenSans"/>
                <w:sz w:val="20"/>
                <w:szCs w:val="20"/>
              </w:rPr>
              <w:br/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1710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1710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5530" cy="1376045"/>
                  <wp:effectExtent l="0" t="0" r="0" b="0"/>
                  <wp:docPr id="3" name="Рисунок 3" descr="http://www.psu.ru/files/images/ob-universitete/rektorat/irk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su.ru/files/images/ob-universitete/rektorat/irk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Style w:val="a4"/>
                <w:rFonts w:ascii="OpenSans" w:hAnsi="OpenSans"/>
                <w:sz w:val="20"/>
                <w:szCs w:val="20"/>
              </w:rPr>
              <w:t>Проректор по научной работе и инновациям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5530" cy="1376045"/>
                  <wp:effectExtent l="0" t="0" r="0" b="0"/>
                  <wp:docPr id="2" name="Рисунок 2" descr="http://www.psu.ru/files/images/ob-universitete/rektorat/gabduraf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su.ru/files/images/ob-universitete/rektorat/gabduraf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Style w:val="a4"/>
                <w:rFonts w:ascii="OpenSans" w:hAnsi="OpenSans"/>
                <w:sz w:val="20"/>
                <w:szCs w:val="20"/>
              </w:rPr>
              <w:t>Проректор по учебной работе</w:t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 w:rsidRPr="00B56875">
              <w:rPr>
                <w:rFonts w:ascii="OpenSans" w:hAnsi="OpenSans"/>
                <w:sz w:val="20"/>
                <w:szCs w:val="20"/>
              </w:rPr>
              <w:t>Владимир Александрович Ирха</w:t>
            </w:r>
            <w:r>
              <w:rPr>
                <w:rFonts w:ascii="OpenSans" w:hAnsi="OpenSans"/>
                <w:sz w:val="20"/>
                <w:szCs w:val="20"/>
              </w:rPr>
              <w:t>,</w:t>
            </w:r>
            <w:r>
              <w:rPr>
                <w:rFonts w:ascii="OpenSans" w:hAnsi="OpenSans"/>
                <w:sz w:val="20"/>
                <w:szCs w:val="20"/>
              </w:rPr>
              <w:br/>
              <w:t>кандидат физико-математических наук</w:t>
            </w:r>
            <w:r>
              <w:rPr>
                <w:rFonts w:ascii="OpenSans" w:hAnsi="OpenSans"/>
                <w:sz w:val="20"/>
                <w:szCs w:val="20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 w:rsidRPr="00B56875">
              <w:rPr>
                <w:rFonts w:ascii="OpenSans" w:hAnsi="OpenSans"/>
                <w:sz w:val="20"/>
                <w:szCs w:val="20"/>
              </w:rPr>
              <w:t>Анна Сергеевна Габдурафикова</w:t>
            </w:r>
            <w:r>
              <w:rPr>
                <w:rFonts w:ascii="OpenSans" w:hAnsi="OpenSans"/>
                <w:sz w:val="20"/>
                <w:szCs w:val="20"/>
              </w:rPr>
              <w:t>,</w:t>
            </w:r>
            <w:r>
              <w:rPr>
                <w:rFonts w:ascii="OpenSans" w:hAnsi="OpenSans"/>
                <w:sz w:val="20"/>
                <w:szCs w:val="20"/>
              </w:rPr>
              <w:br/>
              <w:t>кандид</w:t>
            </w:r>
            <w:r>
              <w:rPr>
                <w:rFonts w:ascii="OpenSans" w:hAnsi="OpenSans"/>
                <w:sz w:val="20"/>
                <w:szCs w:val="20"/>
              </w:rPr>
              <w:t>ат физико-математических наук</w:t>
            </w:r>
            <w:r>
              <w:rPr>
                <w:rFonts w:ascii="OpenSans" w:hAnsi="OpenSans"/>
                <w:sz w:val="20"/>
                <w:szCs w:val="20"/>
              </w:rPr>
              <w:br/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1710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1710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5530" cy="1376045"/>
                  <wp:effectExtent l="0" t="0" r="0" b="0"/>
                  <wp:docPr id="1" name="Рисунок 1" descr="http://www.psu.ru/files/images/ob-universitete/rektorat/meshcherya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su.ru/files/images/ob-universitete/rektorat/meshcherya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Style w:val="a4"/>
                <w:rFonts w:ascii="OpenSans" w:hAnsi="OpenSans"/>
                <w:sz w:val="20"/>
                <w:szCs w:val="20"/>
              </w:rPr>
              <w:t>Проректор по молодежной политике и внеучебной работе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544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B56875" w:rsidTr="00B56875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  <w:r w:rsidRPr="00B56875">
              <w:rPr>
                <w:rFonts w:ascii="OpenSans" w:hAnsi="OpenSans"/>
                <w:sz w:val="20"/>
                <w:szCs w:val="20"/>
              </w:rPr>
              <w:t>Ольга Юрьевна Мещерякова</w:t>
            </w:r>
            <w:r>
              <w:rPr>
                <w:rFonts w:ascii="OpenSans" w:hAnsi="OpenSans"/>
                <w:sz w:val="20"/>
                <w:szCs w:val="20"/>
              </w:rPr>
              <w:t>,</w:t>
            </w:r>
            <w:r>
              <w:rPr>
                <w:rFonts w:ascii="OpenSans" w:hAnsi="OpenSans"/>
                <w:sz w:val="20"/>
                <w:szCs w:val="20"/>
              </w:rPr>
              <w:br/>
              <w:t>кандидат технических наук</w:t>
            </w:r>
            <w:r>
              <w:rPr>
                <w:rFonts w:ascii="OpenSans" w:hAnsi="OpenSans"/>
                <w:sz w:val="20"/>
                <w:szCs w:val="20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875" w:rsidRDefault="00B56875" w:rsidP="00CE7B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E7BD6" w:rsidRDefault="00CE7BD6" w:rsidP="00CE7BD6">
      <w:pPr>
        <w:spacing w:after="0" w:line="240" w:lineRule="auto"/>
      </w:pPr>
    </w:p>
    <w:p w:rsidR="00CE7BD6" w:rsidRDefault="00CE7BD6" w:rsidP="00CE7BD6">
      <w:pPr>
        <w:spacing w:after="0" w:line="240" w:lineRule="auto"/>
      </w:pPr>
      <w:r>
        <w:br w:type="page"/>
      </w:r>
    </w:p>
    <w:p w:rsidR="00CE7BD6" w:rsidRDefault="00CE7BD6" w:rsidP="00CE7BD6">
      <w:pPr>
        <w:pStyle w:val="1"/>
        <w:shd w:val="clear" w:color="auto" w:fill="FFFFFF"/>
        <w:spacing w:before="0" w:line="240" w:lineRule="auto"/>
        <w:rPr>
          <w:rFonts w:ascii="OpenSans" w:hAnsi="OpenSans"/>
          <w:color w:val="595959"/>
          <w:sz w:val="21"/>
          <w:szCs w:val="21"/>
          <w:lang w:eastAsia="ru-RU"/>
        </w:rPr>
      </w:pPr>
      <w:r>
        <w:rPr>
          <w:rFonts w:ascii="OpenSans" w:hAnsi="OpenSans"/>
          <w:color w:val="595959"/>
          <w:sz w:val="21"/>
          <w:szCs w:val="21"/>
        </w:rPr>
        <w:lastRenderedPageBreak/>
        <w:t>Владимир Владимирович Маланин</w:t>
      </w:r>
    </w:p>
    <w:p w:rsidR="00CE7BD6" w:rsidRDefault="00CE7BD6" w:rsidP="00CE7BD6">
      <w:pPr>
        <w:shd w:val="clear" w:color="auto" w:fill="FFFFFF"/>
        <w:spacing w:after="0" w:line="240" w:lineRule="auto"/>
        <w:rPr>
          <w:rFonts w:ascii="OpenSans" w:hAnsi="OpenSans"/>
          <w:color w:val="404040"/>
          <w:sz w:val="20"/>
          <w:szCs w:val="20"/>
        </w:rPr>
      </w:pPr>
      <w:bookmarkStart w:id="0" w:name="_GoBack"/>
      <w:r>
        <w:rPr>
          <w:rFonts w:ascii="OpenSans" w:hAnsi="OpenSans"/>
          <w:noProof/>
          <w:color w:val="404040"/>
          <w:sz w:val="20"/>
          <w:szCs w:val="20"/>
          <w:lang w:eastAsia="ru-RU"/>
        </w:rPr>
        <w:drawing>
          <wp:inline distT="0" distB="0" distL="0" distR="0">
            <wp:extent cx="2708617" cy="3459538"/>
            <wp:effectExtent l="0" t="0" r="0" b="0"/>
            <wp:docPr id="6" name="Рисунок 6" descr="http://www.psu.ru/files/images/ob-universitete/rektorat/malani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su.ru/files/images/ob-universitete/rektorat/malanin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365" cy="346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7BD6" w:rsidRDefault="00CE7BD6" w:rsidP="00CE7BD6">
      <w:pPr>
        <w:shd w:val="clear" w:color="auto" w:fill="FFFFFF"/>
        <w:spacing w:after="0" w:line="240" w:lineRule="auto"/>
        <w:rPr>
          <w:rFonts w:ascii="OpenSans" w:hAnsi="OpenSans"/>
          <w:color w:val="404040"/>
          <w:sz w:val="20"/>
          <w:szCs w:val="20"/>
        </w:rPr>
      </w:pPr>
      <w:r>
        <w:rPr>
          <w:rFonts w:ascii="OpenSans" w:hAnsi="OpenSans"/>
          <w:color w:val="404040"/>
          <w:sz w:val="20"/>
          <w:szCs w:val="20"/>
        </w:rPr>
        <w:t>Родился 30 августа 1942 г. в с. Сылвинск Кунгурского района Пермской области</w:t>
      </w:r>
    </w:p>
    <w:p w:rsidR="00CE7BD6" w:rsidRDefault="00CE7BD6" w:rsidP="00CE7BD6">
      <w:pPr>
        <w:shd w:val="clear" w:color="auto" w:fill="FFFFFF"/>
        <w:spacing w:after="0" w:line="240" w:lineRule="auto"/>
        <w:rPr>
          <w:rFonts w:ascii="OpenSans" w:hAnsi="OpenSans"/>
          <w:color w:val="404040"/>
          <w:sz w:val="20"/>
          <w:szCs w:val="20"/>
        </w:rPr>
      </w:pPr>
      <w:r>
        <w:rPr>
          <w:rFonts w:ascii="OpenSans" w:hAnsi="OpenSans"/>
          <w:color w:val="404040"/>
          <w:sz w:val="20"/>
          <w:szCs w:val="20"/>
        </w:rPr>
        <w:t>В 1960 г. получил квалификацию техника-технолога по холодной обработке металлов резанием в Кунгурском нефтяном техникуме (г. Кунгур Пермской обл.). В том же году поступил на механико-математический факультет Пермского государственного университета, который с отличием окончил в 1965 г. Как одному из лучших студентов механико-математического факультета ему была предоставлена возможность завершить образование и пройти научную стажировку в Московском государственном университете им. М.В. Ломоносова. После окончания учебы в университете В.В. Маланин был оставлен для преподавательской работы на кафедре механики. С 1971 г. – доцент кафедры механики и процессов управления. В 1975 г. был избран заведующим кафедрой механики и процессов управления. В 1983 г. был назначен на должность проректора по научной работе университета.</w:t>
      </w:r>
      <w:r>
        <w:rPr>
          <w:rFonts w:ascii="OpenSans" w:hAnsi="OpenSans"/>
          <w:color w:val="404040"/>
          <w:sz w:val="20"/>
          <w:szCs w:val="20"/>
        </w:rPr>
        <w:br/>
        <w:t>В 1991 г. получил звание профессора. В 2001 году решением ВАК В.В. Маланину была присуждена ученая степень доктора технических наук.</w:t>
      </w:r>
      <w:r>
        <w:rPr>
          <w:rFonts w:ascii="OpenSans" w:hAnsi="OpenSans"/>
          <w:color w:val="404040"/>
          <w:sz w:val="20"/>
          <w:szCs w:val="20"/>
        </w:rPr>
        <w:br/>
        <w:t>В марте 1987 г. был избран коллективом Пермского государственного университета на должность ректора (одним из первых в СССР и первым в России). С апреля 2010 г. и по настоящее время – Президент Пермского государственного национального исследовательского университета.</w:t>
      </w:r>
      <w:r>
        <w:rPr>
          <w:rFonts w:ascii="OpenSans" w:hAnsi="OpenSans"/>
          <w:color w:val="404040"/>
          <w:sz w:val="20"/>
          <w:szCs w:val="20"/>
        </w:rPr>
        <w:br/>
        <w:t>С 1996 г. являлся председателем Совета ректоров вузов Пермской области, а затем Совета ректоров вузов Пермского края с 2007 по 2017 г.  Принимает деятельное участие в организации и совершенствовании высшего образования в Прикамье. Был инициатором организации многих международных, всероссийских и региональных конференций, симпозиумов и семинаров.</w:t>
      </w:r>
      <w:r>
        <w:rPr>
          <w:rFonts w:ascii="OpenSans" w:hAnsi="OpenSans"/>
          <w:color w:val="404040"/>
          <w:sz w:val="20"/>
          <w:szCs w:val="20"/>
        </w:rPr>
        <w:br/>
        <w:t>Маланин В.В. является членом Учёного совета ПГНИУ, Попечительского совета ПГНИУ, Правления Эндаумент-фонда целевого капитала ПГНИУ, Президиума Совета ректоров вузов Пермского края, членом Комитета Попечителей г. Перми, членом комиссии по присуждению почётного звания «Почётный гражданин г. Перми» и др.</w:t>
      </w:r>
      <w:r>
        <w:rPr>
          <w:rFonts w:ascii="OpenSans" w:hAnsi="OpenSans"/>
          <w:color w:val="404040"/>
          <w:sz w:val="20"/>
          <w:szCs w:val="20"/>
        </w:rPr>
        <w:br/>
        <w:t>Имеет звания «Заслуженный деятель науки Российской Федерации» «Почётный работник высшего образования», «Почётный гражданин Пермской области», «Почетный гражданин города Перми».</w:t>
      </w:r>
      <w:r>
        <w:rPr>
          <w:rFonts w:ascii="OpenSans" w:hAnsi="OpenSans"/>
          <w:color w:val="404040"/>
          <w:sz w:val="20"/>
          <w:szCs w:val="20"/>
        </w:rPr>
        <w:br/>
        <w:t>Награждён орденом «За заслуги перед Отечеством» III и IV степени; медалью «Ветеран труда», медалью К.Д. Ушинского, благодарственными письмами Президента РФ; почётной грамотой Президиума Верховного Совета Российской Федерации, Минобразования России.</w:t>
      </w:r>
      <w:r>
        <w:rPr>
          <w:rFonts w:ascii="OpenSans" w:hAnsi="OpenSans"/>
          <w:color w:val="404040"/>
          <w:sz w:val="20"/>
          <w:szCs w:val="20"/>
        </w:rPr>
        <w:br/>
        <w:t>Владеет английским и французским языками.</w:t>
      </w:r>
    </w:p>
    <w:p w:rsidR="00243221" w:rsidRPr="001C34A2" w:rsidRDefault="00243221" w:rsidP="00CE7BD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6875"/>
    <w:rsid w:val="00BE110E"/>
    <w:rsid w:val="00C76735"/>
    <w:rsid w:val="00CE7B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1C9A"/>
  <w15:docId w15:val="{6365882C-3366-44DF-A647-FA43B9FB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ubheading-category">
    <w:name w:val="subheading-category"/>
    <w:basedOn w:val="a0"/>
    <w:rsid w:val="00B5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1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2024-11-27T05:25:00Z</dcterms:modified>
</cp:coreProperties>
</file>