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0"/>
        <w:gridCol w:w="5796"/>
      </w:tblGrid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Ректор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Кузьмичев Игорь Константинович</w:t>
            </w:r>
          </w:p>
        </w:tc>
      </w:tr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Проректор по экономической деятельности и информационной политике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Пыжова Жанна Юрьевна</w:t>
            </w:r>
          </w:p>
        </w:tc>
      </w:tr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Проректор по образовательной деятельности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Крайнова Вера Владимировна</w:t>
            </w:r>
          </w:p>
        </w:tc>
      </w:tr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Проректор по научной и инновационной деятельности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Бурмистров Евгений Геннадьевич</w:t>
            </w:r>
          </w:p>
        </w:tc>
      </w:tr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Проректор по конвенционной подготовке и международной деятельности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Митрошин Сергей Григорьевич</w:t>
            </w:r>
          </w:p>
        </w:tc>
      </w:tr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Проректор по среднему профессиональному образованию-начальник Нижегородского ордена «Знак Почета» речного училища им. И.П. Кулибина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Костюничев Денис Николаевич</w:t>
            </w:r>
          </w:p>
        </w:tc>
      </w:tr>
      <w:tr w:rsidR="005338C6" w:rsidRPr="005338C6" w:rsidTr="005338C6">
        <w:tc>
          <w:tcPr>
            <w:tcW w:w="0" w:type="auto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Проректор по молодежной политике</w:t>
            </w:r>
          </w:p>
        </w:tc>
        <w:tc>
          <w:tcPr>
            <w:tcW w:w="5796" w:type="dxa"/>
            <w:tcBorders>
              <w:top w:val="single" w:sz="6" w:space="0" w:color="EDEDE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338C6" w:rsidRPr="005338C6" w:rsidRDefault="005338C6" w:rsidP="005338C6">
            <w:pPr>
              <w:spacing w:after="300" w:line="300" w:lineRule="atLeast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5338C6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Кручинин Максим Владимирович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38C6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3C3D-545C-497B-A957-139F68DB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2024-11-21T05:57:00Z</dcterms:modified>
</cp:coreProperties>
</file>