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17" w:rsidRPr="00974617" w:rsidRDefault="00974617" w:rsidP="0097461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974617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2020 год</w:t>
      </w:r>
    </w:p>
    <w:p w:rsidR="00974617" w:rsidRPr="00974617" w:rsidRDefault="00974617" w:rsidP="00974617">
      <w:pPr>
        <w:spacing w:after="75" w:line="240" w:lineRule="auto"/>
        <w:rPr>
          <w:rFonts w:eastAsia="Times New Roman"/>
          <w:i/>
          <w:iCs/>
          <w:color w:val="104B52"/>
          <w:szCs w:val="24"/>
          <w:lang w:eastAsia="ru-RU"/>
        </w:rPr>
      </w:pPr>
      <w:r w:rsidRPr="00974617">
        <w:rPr>
          <w:rFonts w:eastAsia="Times New Roman"/>
          <w:i/>
          <w:iCs/>
          <w:color w:val="104B52"/>
          <w:szCs w:val="24"/>
          <w:lang w:eastAsia="ru-RU"/>
        </w:rPr>
        <w:t>Опубликовано: 12 мая 2021 12:10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40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ФГУП «РОСТЭК»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169 902,97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генерального директора по капитальному строительству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49 850,83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50 011,37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  - начальник управления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34 351,45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1» ФТС России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194 453,54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87 908,84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70 264,71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поликлиника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77 744,19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77 162,02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2» ФТС России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147 629,00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90 009,00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101 364,00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92 055,00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98 749,00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 ФТС России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154 265,43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116 753,14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113 409,81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117 790,73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80"/>
        <w:gridCol w:w="3570"/>
      </w:tblGrid>
      <w:tr w:rsidR="00974617" w:rsidRPr="00974617" w:rsidTr="00974617"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4» ФТС России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176 969,54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АХЧ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119 480,55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ГО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116 257,67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117 162,90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КЭР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196 627,89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212 913,08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112 608,92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234 452,95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251 766,48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243 459,72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190 265,05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br/>
              <w:t> 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145 864,66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 ГО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151 267,24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169 974,77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 России»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299 644,84</w:t>
            </w:r>
          </w:p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288 456,94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госпиталя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267 953,50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медицинскому снабжению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306 207,49</w:t>
            </w:r>
          </w:p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госпиталя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119 281,55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134 539,10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 ФТС России»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154 808,33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107 843,24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103 157,59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 ФТС России»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152 665,82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57 042,34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92 639,87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санатория по финансово-экономическим вопросам- 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105 369,62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134 155,07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95 214,38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«Ясная поляна»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88 721,31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84 949,52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 ФТС России»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санатория</w:t>
            </w:r>
            <w:r w:rsidRPr="0097461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148 997,16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120 657,00</w:t>
            </w:r>
          </w:p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 (02.06.2019-31.12.2019)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198 429,90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974617" w:rsidRPr="00974617" w:rsidTr="00974617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«Пансионат «Белое солнце» ФТС России»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пансионата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135 663,48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начальника пансионата –начальник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95 729,44</w:t>
            </w:r>
          </w:p>
        </w:tc>
      </w:tr>
      <w:tr w:rsidR="00974617" w:rsidRPr="00974617" w:rsidTr="0097461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91 149,89</w:t>
            </w:r>
          </w:p>
        </w:tc>
      </w:tr>
      <w:tr w:rsidR="00974617" w:rsidRPr="00974617" w:rsidTr="00974617">
        <w:tc>
          <w:tcPr>
            <w:tcW w:w="10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образовательное учреждение высшего образования "Российская таможенная академия" г. Люберцы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Начальник Академии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292 912,84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284 968,20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Первый проректор (по учебной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434 836,16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 (по социально - воспитательной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279 158,03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 (по финансово-экономическим вопросам)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343 800,02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 (по административно-хозяйственной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336 666,08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 – директор центра информационных технологий (по развитию цифровых технологий)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359 290,74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 (по научной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324 174,94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146 977,99</w:t>
            </w:r>
          </w:p>
        </w:tc>
      </w:tr>
      <w:tr w:rsidR="00974617" w:rsidRPr="00974617" w:rsidTr="00974617">
        <w:tc>
          <w:tcPr>
            <w:tcW w:w="10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Санкт-Петербургский имени В.Б. Бобкова филиал государственного казенного образовательного учреждения высшего образования "Российская таможенная академия"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353 686,68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247 384,86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224 137,45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231 607,89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228 965,37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278 771,95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300"/>
        <w:gridCol w:w="3405"/>
      </w:tblGrid>
      <w:tr w:rsidR="00974617" w:rsidRPr="00974617" w:rsidTr="00974617">
        <w:tc>
          <w:tcPr>
            <w:tcW w:w="10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 государственного казенного образовательного учреждения высшего образования "Российская таможенная академия"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И.о. проректора-директора филиала (по научной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326 360,17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216 429,05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(по социальной и воспитательной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160 151,82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административно-хозяйственной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172 112,85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174 143,84 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300"/>
        <w:gridCol w:w="3405"/>
      </w:tblGrid>
      <w:tr w:rsidR="00974617" w:rsidRPr="00974617" w:rsidTr="00974617">
        <w:tc>
          <w:tcPr>
            <w:tcW w:w="10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 государственного казенного образовательного учреждения высшего образования "Российская таможенная академия"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323 768,10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учебной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128 541,40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социальной и воспитательной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174 325,33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Заместитель директора филиала (по научной работе)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184 545,32 </w:t>
            </w:r>
          </w:p>
        </w:tc>
      </w:tr>
      <w:tr w:rsidR="00974617" w:rsidRPr="00974617" w:rsidTr="00974617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74617" w:rsidRPr="00974617" w:rsidRDefault="00974617" w:rsidP="009746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617">
              <w:rPr>
                <w:rFonts w:eastAsia="Times New Roman"/>
                <w:szCs w:val="24"/>
                <w:lang w:eastAsia="ru-RU"/>
              </w:rPr>
              <w:t>209 298,91</w:t>
            </w:r>
          </w:p>
        </w:tc>
      </w:tr>
    </w:tbl>
    <w:p w:rsidR="00974617" w:rsidRPr="00974617" w:rsidRDefault="00974617" w:rsidP="00974617">
      <w:pPr>
        <w:shd w:val="clear" w:color="auto" w:fill="FFFFFF"/>
        <w:spacing w:after="100" w:afterAutospacing="1" w:line="240" w:lineRule="auto"/>
        <w:jc w:val="center"/>
        <w:rPr>
          <w:rFonts w:ascii="PT Sans" w:eastAsia="Times New Roman" w:hAnsi="PT Sans"/>
          <w:color w:val="212529"/>
          <w:sz w:val="27"/>
          <w:szCs w:val="27"/>
          <w:lang w:eastAsia="ru-RU"/>
        </w:rPr>
      </w:pPr>
      <w:r w:rsidRPr="00974617">
        <w:rPr>
          <w:rFonts w:ascii="PT Sans" w:eastAsia="Times New Roman" w:hAnsi="PT Sans"/>
          <w:color w:val="212529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461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311A5-F3EF-4BE2-B10F-755B5DFF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8467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2024-10-28T06:42:00Z</dcterms:modified>
</cp:coreProperties>
</file>