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40F" w:rsidRDefault="0057040F" w:rsidP="0057040F">
      <w:pPr>
        <w:pStyle w:val="a3"/>
        <w:shd w:val="clear" w:color="auto" w:fill="FFFFFF"/>
        <w:spacing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Информация об исполнении депутатами Совета депутатов Городского округа Пушкинский Московской области обязанности представлять сведения о доходах, расходах, об имуществе и обязательствах имущественного характера за 2023 год</w:t>
      </w:r>
    </w:p>
    <w:p w:rsidR="0057040F" w:rsidRDefault="0057040F" w:rsidP="0057040F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В соответствии с Федеральным законом от 25.12.2008 № 273-ФЗ</w:t>
      </w:r>
      <w:r>
        <w:rPr>
          <w:rFonts w:ascii="Arial" w:hAnsi="Arial" w:cs="Arial"/>
          <w:color w:val="212121"/>
          <w:sz w:val="23"/>
          <w:szCs w:val="23"/>
        </w:rPr>
        <w:br/>
        <w:t>«О противодействии коррупции», Законом Московской области от 20.12.2023 № 250/2023-ОЗ «О регулировании отношений, связанных с исполнением отдельных обязанностей в сфере противодействия коррупции гражданами, претендующими на замещение муниципальных должностей в Московской области, и лицами, замещающими муниципальные должности в Московской области» 24 депутата Совета депутатов Городского округа Пушкинский Московской области исполнили обязанность представлять сведения о доходах, расходах, об имуществе и обязательствах имущественного характера.</w:t>
      </w:r>
    </w:p>
    <w:p w:rsidR="0057040F" w:rsidRDefault="0057040F" w:rsidP="0057040F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2 депутата, осуществляющие свои полномочия на непостоянной основе, не представили Губернатору Московской области Сообщение об отсутствии у лица, замещающего муниципальную должность депутата представительного органа муниципального образования Московской области и осуществляющего свои полномочия на непостоянной основе, в отчетном периоде сделок, предусмотренных частью 1 статьи 3 Федерального закона от 3 декабря 2012 г. № 230-ФЗ «О контроле за соответствием расходов лиц, замещающих государственные должности, и иных лиц их доходам».</w:t>
      </w:r>
    </w:p>
    <w:p w:rsidR="0057040F" w:rsidRDefault="0057040F" w:rsidP="0057040F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В соответствии с подпунктом «ж» пункта 1 Указа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в период проведения СВО и впредь до издания соответствующих нормативных правовых актов Российской Федерации размещение сведений сведения о доходах, расходах, об имуществе и обязательствах имущественного характера лиц, замещающих муниципальные должности, лиц, замещающих должности муниципальной службы в Администрации Городского округа Пушкинский Московской области, руководителей муниципальных организаций Городского округа Пушкинский Московской области на официальных сайтах органов публичной власти и организаций в сети «Интернет» и их предоставление общероссийским СМИ для опубликования не осуществляются.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7040F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DB0B52-A208-4A7F-9498-451E42D48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4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2024-10-21T06:20:00Z</dcterms:modified>
</cp:coreProperties>
</file>