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B30A2F" w:rsidP="001C34A2">
      <w:r>
        <w:rPr>
          <w:rFonts w:ascii="Arial" w:hAnsi="Arial" w:cs="Arial"/>
          <w:color w:val="3D3D3D"/>
          <w:shd w:val="clear" w:color="auto" w:fill="FFFFFF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В ходе декларационной кампании 2024 года (за отчетный 2023 год)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из 35 депутатов Хабаровской городской Думы (далее – депутат) обязанность представить сведения о доходах, расходах, об имуществе и обязательствах имущественного характера*: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- исполнили 35 депутатов;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- ненадлежаще исполнили 0 депутатов.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депутатов, обязанных сообщить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по форме, утвержденной распоряжением Губернатора Хабаровского края от 29 ноября 2019 г. № 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0A2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43604-E832-4930-82A7-57B8F94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2024-07-22T04:58:00Z</dcterms:modified>
</cp:coreProperties>
</file>