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6C" w:rsidRDefault="0033156C" w:rsidP="0033156C">
      <w:pPr>
        <w:pStyle w:val="1"/>
        <w:spacing w:before="0" w:line="600" w:lineRule="atLeast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Обобщенная информация об исполнении (ненадлежащем исполнении) депутатами городской Думы Краснодара обязанности представить сведения о доходах, расходах, об имуществе и обязательствах имущественного характера (в соответствии со статьей 5¹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33156C" w:rsidTr="0033156C">
        <w:tc>
          <w:tcPr>
            <w:tcW w:w="14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t>Депутаты городской Думы Краснодара</w:t>
            </w:r>
          </w:p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t>(чел.)</w:t>
            </w:r>
          </w:p>
        </w:tc>
      </w:tr>
      <w:tr w:rsidR="0033156C" w:rsidTr="0033156C">
        <w:tc>
          <w:tcPr>
            <w:tcW w:w="145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lang w:val="en-US"/>
              </w:rPr>
              <w:t>52</w:t>
            </w:r>
          </w:p>
        </w:tc>
      </w:tr>
      <w:tr w:rsidR="0033156C" w:rsidTr="0033156C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t>Депутаты городской Думы Краснодара, осуществляющие депутатскую деятельность на постоянной основе</w:t>
            </w:r>
          </w:p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t>(чел.)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t>Депутаты городской Думы Краснодара, осуществляющие депутатскую деятельность на непостоянной основе</w:t>
            </w:r>
          </w:p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t>(чел.)</w:t>
            </w:r>
          </w:p>
        </w:tc>
      </w:tr>
      <w:tr w:rsidR="0033156C" w:rsidTr="0033156C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4</w:t>
            </w:r>
            <w:r>
              <w:rPr>
                <w:b/>
                <w:bCs/>
                <w:color w:val="000000"/>
                <w:bdr w:val="none" w:sz="0" w:space="0" w:color="auto" w:frame="1"/>
                <w:lang w:val="en-US"/>
              </w:rPr>
              <w:t>7</w:t>
            </w:r>
          </w:p>
        </w:tc>
      </w:tr>
      <w:tr w:rsidR="0033156C" w:rsidTr="0033156C"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</w:t>
            </w:r>
            <w:r>
              <w:rPr>
                <w:color w:val="000000"/>
                <w:bdr w:val="none" w:sz="0" w:space="0" w:color="auto" w:frame="1"/>
              </w:rPr>
              <w:lastRenderedPageBreak/>
              <w:t>детей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 xml:space="preserve"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</w:t>
            </w:r>
            <w:r>
              <w:rPr>
                <w:color w:val="000000"/>
                <w:bdr w:val="none" w:sz="0" w:space="0" w:color="auto" w:frame="1"/>
              </w:rPr>
              <w:lastRenderedPageBreak/>
              <w:t>несовершеннолетних детей</w:t>
            </w:r>
          </w:p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</w:t>
            </w:r>
            <w:r>
              <w:rPr>
                <w:color w:val="000000"/>
                <w:bdr w:val="none" w:sz="0" w:space="0" w:color="auto" w:frame="1"/>
              </w:rPr>
              <w:lastRenderedPageBreak/>
              <w:t>детей</w:t>
            </w:r>
          </w:p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в соответствии с частью 4 статьи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 xml:space="preserve">Представили уведомление о несовершении в течении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</w:t>
            </w:r>
            <w:r>
              <w:rPr>
                <w:color w:val="000000"/>
                <w:bdr w:val="none" w:sz="0" w:space="0" w:color="auto" w:frame="1"/>
              </w:rPr>
              <w:lastRenderedPageBreak/>
              <w:t>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33156C" w:rsidTr="0033156C"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-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56C" w:rsidRDefault="0033156C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4</w:t>
            </w:r>
            <w:r>
              <w:rPr>
                <w:b/>
                <w:bCs/>
                <w:color w:val="000000"/>
                <w:bdr w:val="none" w:sz="0" w:space="0" w:color="auto" w:frame="1"/>
                <w:lang w:val="en-US"/>
              </w:rPr>
              <w:t>6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156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37A27-2B0E-458C-916D-C4A19723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34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single" w:sz="6" w:space="15" w:color="D9D9DE"/>
            <w:right w:val="none" w:sz="0" w:space="0" w:color="auto"/>
          </w:divBdr>
        </w:div>
        <w:div w:id="74025379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2024-07-01T06:56:00Z</dcterms:modified>
</cp:coreProperties>
</file>