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9B" w:rsidRDefault="00F17A9B" w:rsidP="00F17A9B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Руководители</w:t>
      </w:r>
    </w:p>
    <w:p w:rsidR="00F17A9B" w:rsidRDefault="00F17A9B" w:rsidP="00F17A9B">
      <w:pPr>
        <w:rPr>
          <w:rFonts w:ascii="Arial" w:hAnsi="Arial" w:cs="Arial"/>
          <w:color w:val="3E3E3E"/>
          <w:sz w:val="15"/>
          <w:szCs w:val="15"/>
        </w:rPr>
      </w:pPr>
    </w:p>
    <w:tbl>
      <w:tblPr>
        <w:tblW w:w="0" w:type="auto"/>
        <w:shd w:val="clear" w:color="auto" w:fill="FFFC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1"/>
        <w:gridCol w:w="3273"/>
      </w:tblGrid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before="510" w:after="48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before="510" w:after="48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ФИО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Аппарата Законодательного Собрания Республики Карелия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Горшков Денис Викторович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начальника Аппарата Законодательного Собрания Республики Карелия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Савинов Никита Валерьевич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Аппарата Законодательного Собрания Республики Карелия — 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Бильдеев Владимир Петрович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делами - начальник отдела материально-технического обеспечения и государственных закупок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Голуб Владимир Анатольевич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Аппарата - начальник информационно-аналитического управления 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Лукьянов Игорь Леонидович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Овчинникова Юлия Владимировна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организационного управления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Чехонина Альбина Александровна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 государственному устройству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Сахарова Ольга Ивановна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 социальной политике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Павлова Эльвира Валентиновна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Начальник управления по экономической политике, межпарламентским и международным связям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Вянни Наталья Валерьевна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технологического и программного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Каулио Павел Альфредович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финансового отдела — главный бухгалтер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Седачева Екатерина Викторовна</w:t>
            </w:r>
          </w:p>
        </w:tc>
      </w:tr>
      <w:tr w:rsidR="00F17A9B" w:rsidTr="00F17A9B"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государственной службы и кадров</w:t>
            </w:r>
          </w:p>
        </w:tc>
        <w:tc>
          <w:tcPr>
            <w:tcW w:w="0" w:type="auto"/>
            <w:tcBorders>
              <w:top w:val="single" w:sz="6" w:space="0" w:color="E8DABD"/>
              <w:left w:val="single" w:sz="6" w:space="0" w:color="E8DABD"/>
              <w:bottom w:val="single" w:sz="6" w:space="0" w:color="E8DABD"/>
              <w:right w:val="single" w:sz="6" w:space="0" w:color="E8DABD"/>
            </w:tcBorders>
            <w:shd w:val="clear" w:color="auto" w:fill="FFFCF2"/>
            <w:tcMar>
              <w:top w:w="180" w:type="dxa"/>
              <w:left w:w="135" w:type="dxa"/>
              <w:bottom w:w="210" w:type="dxa"/>
              <w:right w:w="195" w:type="dxa"/>
            </w:tcMar>
            <w:hideMark/>
          </w:tcPr>
          <w:p w:rsidR="00F17A9B" w:rsidRDefault="00F17A9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18"/>
                <w:szCs w:val="18"/>
              </w:rPr>
              <w:t>Цепенок Юлия Михайловна</w:t>
            </w:r>
          </w:p>
        </w:tc>
      </w:tr>
    </w:tbl>
    <w:p w:rsidR="00243221" w:rsidRDefault="00243221" w:rsidP="001C34A2"/>
    <w:p w:rsidR="00DD005A" w:rsidRPr="001C34A2" w:rsidRDefault="00DD005A" w:rsidP="001C34A2">
      <w:r>
        <w:rPr>
          <w:noProof/>
          <w:lang w:eastAsia="ru-RU"/>
        </w:rPr>
        <w:lastRenderedPageBreak/>
        <w:drawing>
          <wp:inline distT="0" distB="0" distL="0" distR="0">
            <wp:extent cx="8568690" cy="4449445"/>
            <wp:effectExtent l="0" t="0" r="0" b="0"/>
            <wp:docPr id="1" name="Рисунок 1" descr="Структура Аппарата Законодательного Собрания Республики Каре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Аппарата Законодательного Собрания Республики Карел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69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05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379F9"/>
    <w:multiLevelType w:val="multilevel"/>
    <w:tmpl w:val="518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05A"/>
    <w:rsid w:val="00F17A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8DC0"/>
  <w15:docId w15:val="{D466845A-0A49-48FF-B029-9197BDE1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668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0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5842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2024-05-24T06:52:00Z</dcterms:modified>
</cp:coreProperties>
</file>