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E59" w:rsidRDefault="00995E59" w:rsidP="009E0989">
      <w:pPr>
        <w:pStyle w:val="a3"/>
        <w:spacing w:before="0" w:beforeAutospacing="0" w:after="0" w:afterAutospacing="0"/>
        <w:rPr>
          <w:rFonts w:ascii="Proxima Nova" w:hAnsi="Proxima Nova"/>
          <w:color w:val="031D4B"/>
          <w:sz w:val="21"/>
          <w:szCs w:val="21"/>
        </w:rPr>
      </w:pPr>
      <w:r>
        <w:rPr>
          <w:rFonts w:ascii="Proxima Nova" w:hAnsi="Proxima Nova"/>
          <w:noProof/>
          <w:color w:val="031D4B"/>
          <w:sz w:val="21"/>
          <w:szCs w:val="21"/>
        </w:rPr>
        <w:drawing>
          <wp:inline distT="0" distB="0" distL="0" distR="0">
            <wp:extent cx="2004943" cy="2949039"/>
            <wp:effectExtent l="0" t="0" r="0" b="0"/>
            <wp:docPr id="1" name="Рисунок 1" descr="http://svr.gov.ru/upload/iblock/0a4/%D0%9D%D0%B0%D1%80%D1%8B%D1%88%D0%BA%D0%B8%D0%BD201020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r.gov.ru/upload/iblock/0a4/%D0%9D%D0%B0%D1%80%D1%8B%D1%88%D0%BA%D0%B8%D0%BD20102020%2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3154" cy="2961116"/>
                    </a:xfrm>
                    <a:prstGeom prst="rect">
                      <a:avLst/>
                    </a:prstGeom>
                    <a:noFill/>
                    <a:ln>
                      <a:noFill/>
                    </a:ln>
                  </pic:spPr>
                </pic:pic>
              </a:graphicData>
            </a:graphic>
          </wp:inline>
        </w:drawing>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Нарышкин Сергей Евгеньевич — Директор Службы внешней разведки Российской Федерации. </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Родился 27 октября 1954 года в Ленинграде.</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В 1978 году окончил Ленинградский механический институт по специальности «инженер-радиомеханик». Второе высшее образование по специальности «экономист» получил в Петербургском международном институте менеджмента.</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В 1982 году был назначен помощником проректора Ленинградского политехнического института. В качестве эксперта Государственного комитета по науке и технике работал в аппарате экономического советника посольства СССР в Бельгии.</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С 1992 года возглавлял один из отделов комитета по экономике и финансам Мэрии Санкт-Петербурга.</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В 1995 году перешел на работу в петербургский Промстройбанк на должность начальника отдела внешних инвестиций.</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С января 1997 года работал в правительстве Ленинградской области в качестве начальника Департамента инвестиций.</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В 1998 году назначен главой комитета по внешнеэкономическим и международным связям правительства Ленинградской области.</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В 2004 году занял должность заместителя начальника Экономического управления Президента Российской Федерации, а с марта 2004 года назначен заместителем Руководителя Аппарата Правительства Российской Федерации.</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С 13 сентября 2004 года — Руководитель Аппарата Правительства Российской Федерации — Министр Российской Федерации.</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С 15 февраля 2007 года — Руководитель Аппарата Правительства Российской Федерации — заместитель Председателя Правительства Российской Федерации.</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С мая 2008 года — Руководитель Администрации Президента Российской Федерации.</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С 21 декабря 2011 года — Председатель Государственной Думы Федерального Собрания Российской Федерации.</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22 сентября 2016 года Президент России Владимир Путин назначил Сергея Евгеньевича Нарышкина на должность Директора Службы внешней разведки Российской Федерации с 5 октября 2016 года.</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Председатель «Российского исторического общества».</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Председатель Попечительского совета некоммерческой организации «Фонд современной истории».</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Доктор экономических наук, автор 47 научных работ.</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 xml:space="preserve">Имеет награды: орден «За заслуги перед Отечеством» II степени (2019 год), орден «За заслуги перед Отечеством» III степени (2010 год), орден «За заслуги перед Отечеством» IV степени (2008 год), орден Александра Невского (2014 год), орден Почёта (2004 год), Орден «Дружбы» (2016 год), медаль ордена «За заслуги перед Отечеством» II степени (2003 год), почётную грамоту Президента Российской Федерации (2009 год), благодарность Президента Российской Федерации (2007, 2008, 2022 </w:t>
      </w:r>
      <w:r>
        <w:rPr>
          <w:rFonts w:ascii="Proxima Nova" w:hAnsi="Proxima Nova"/>
          <w:color w:val="031D4B"/>
          <w:sz w:val="21"/>
          <w:szCs w:val="21"/>
        </w:rPr>
        <w:lastRenderedPageBreak/>
        <w:t>годы), медаль Столыпина П.А. I степени Правительства Российской Федерации (2019 год), почётную грамоту Правительства Российской Федерации (2009 год), а также другие ордена и медали, в том числе многих зарубежных государств.</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Владеет французским и английским языками.</w:t>
      </w:r>
    </w:p>
    <w:p w:rsidR="00995E59" w:rsidRDefault="00995E59" w:rsidP="009E0989">
      <w:pPr>
        <w:pStyle w:val="a3"/>
        <w:spacing w:before="0" w:beforeAutospacing="0" w:after="0" w:afterAutospacing="0"/>
        <w:jc w:val="both"/>
        <w:rPr>
          <w:rFonts w:ascii="Proxima Nova" w:hAnsi="Proxima Nova"/>
          <w:color w:val="031D4B"/>
          <w:sz w:val="21"/>
          <w:szCs w:val="21"/>
        </w:rPr>
      </w:pPr>
      <w:r>
        <w:rPr>
          <w:rFonts w:ascii="Proxima Nova" w:hAnsi="Proxima Nova"/>
          <w:color w:val="031D4B"/>
          <w:sz w:val="21"/>
          <w:szCs w:val="21"/>
        </w:rPr>
        <w:t>Женат, двое детей.</w:t>
      </w:r>
    </w:p>
    <w:p w:rsidR="00995E59" w:rsidRDefault="00995E59" w:rsidP="009E0989">
      <w:pPr>
        <w:spacing w:after="0" w:line="240" w:lineRule="auto"/>
      </w:pPr>
    </w:p>
    <w:p w:rsidR="009E0989" w:rsidRDefault="009E0989" w:rsidP="009E0989">
      <w:pPr>
        <w:spacing w:after="0" w:line="240" w:lineRule="auto"/>
      </w:pPr>
      <w:bookmarkStart w:id="0" w:name="_GoBack"/>
      <w:bookmarkEnd w:id="0"/>
    </w:p>
    <w:p w:rsidR="009E0989" w:rsidRDefault="009E0989" w:rsidP="009E0989">
      <w:pPr>
        <w:pStyle w:val="3"/>
        <w:spacing w:before="0" w:line="240" w:lineRule="auto"/>
        <w:rPr>
          <w:rFonts w:ascii="FranklinGothic-MediumCond" w:hAnsi="FranklinGothic-MediumCond"/>
          <w:color w:val="031D4B"/>
          <w:sz w:val="36"/>
          <w:szCs w:val="36"/>
          <w:lang w:eastAsia="ru-RU"/>
        </w:rPr>
      </w:pPr>
      <w:r>
        <w:rPr>
          <w:rFonts w:ascii="FranklinGothic-MediumCond" w:hAnsi="FranklinGothic-MediumCond"/>
          <w:color w:val="031D4B"/>
          <w:sz w:val="36"/>
          <w:szCs w:val="36"/>
        </w:rPr>
        <w:t>Перечень структурных подразделений СВР России</w:t>
      </w:r>
    </w:p>
    <w:p w:rsidR="009E0989" w:rsidRDefault="009E0989" w:rsidP="009E0989">
      <w:pPr>
        <w:pStyle w:val="a3"/>
        <w:spacing w:before="0" w:beforeAutospacing="0" w:after="0" w:afterAutospacing="0"/>
        <w:rPr>
          <w:rFonts w:ascii="Proxima Nova" w:hAnsi="Proxima Nova"/>
          <w:color w:val="031D4B"/>
          <w:sz w:val="21"/>
          <w:szCs w:val="21"/>
        </w:rPr>
      </w:pPr>
      <w:r>
        <w:rPr>
          <w:rFonts w:ascii="Proxima Nova" w:hAnsi="Proxima Nova"/>
          <w:color w:val="031D4B"/>
          <w:sz w:val="21"/>
          <w:szCs w:val="21"/>
        </w:rPr>
        <w:t>— Аппарат Директора; </w:t>
      </w:r>
      <w:r>
        <w:rPr>
          <w:rFonts w:ascii="Proxima Nova" w:hAnsi="Proxima Nova"/>
          <w:color w:val="031D4B"/>
          <w:sz w:val="21"/>
          <w:szCs w:val="21"/>
        </w:rPr>
        <w:br/>
        <w:t>— Протокольный отдел; </w:t>
      </w:r>
      <w:r>
        <w:rPr>
          <w:rFonts w:ascii="Proxima Nova" w:hAnsi="Proxima Nova"/>
          <w:color w:val="031D4B"/>
          <w:sz w:val="21"/>
          <w:szCs w:val="21"/>
        </w:rPr>
        <w:br/>
        <w:t>— Академия СВР России (АВР); </w:t>
      </w:r>
      <w:r>
        <w:rPr>
          <w:rFonts w:ascii="Proxima Nova" w:hAnsi="Proxima Nova"/>
          <w:color w:val="031D4B"/>
          <w:sz w:val="21"/>
          <w:szCs w:val="21"/>
        </w:rPr>
        <w:br/>
        <w:t>— </w:t>
      </w:r>
      <w:r w:rsidRPr="009E0989">
        <w:rPr>
          <w:rFonts w:ascii="Proxima Nova" w:hAnsi="Proxima Nova"/>
          <w:color w:val="031D4B"/>
          <w:sz w:val="21"/>
          <w:szCs w:val="21"/>
          <w:bdr w:val="none" w:sz="0" w:space="0" w:color="auto" w:frame="1"/>
        </w:rPr>
        <w:t>Бюро по связям с общественностью и СМИ (Пресс-бюро);</w:t>
      </w:r>
      <w:r>
        <w:rPr>
          <w:rFonts w:ascii="Proxima Nova" w:hAnsi="Proxima Nova"/>
          <w:color w:val="031D4B"/>
          <w:sz w:val="21"/>
          <w:szCs w:val="21"/>
        </w:rPr>
        <w:t> </w:t>
      </w:r>
      <w:r>
        <w:rPr>
          <w:rFonts w:ascii="Proxima Nova" w:hAnsi="Proxima Nova"/>
          <w:color w:val="031D4B"/>
          <w:sz w:val="21"/>
          <w:szCs w:val="21"/>
        </w:rPr>
        <w:br/>
        <w:t>— Оперативные отделы; </w:t>
      </w:r>
      <w:r>
        <w:rPr>
          <w:rFonts w:ascii="Proxima Nova" w:hAnsi="Proxima Nova"/>
          <w:color w:val="031D4B"/>
          <w:sz w:val="21"/>
          <w:szCs w:val="21"/>
        </w:rPr>
        <w:br/>
        <w:t>— Управление анализа и информации; </w:t>
      </w:r>
      <w:r>
        <w:rPr>
          <w:rFonts w:ascii="Proxima Nova" w:hAnsi="Proxima Nova"/>
          <w:color w:val="031D4B"/>
          <w:sz w:val="21"/>
          <w:szCs w:val="21"/>
        </w:rPr>
        <w:br/>
        <w:t>— Управление внешней контрразведки; </w:t>
      </w:r>
      <w:r>
        <w:rPr>
          <w:rFonts w:ascii="Proxima Nova" w:hAnsi="Proxima Nova"/>
          <w:color w:val="031D4B"/>
          <w:sz w:val="21"/>
          <w:szCs w:val="21"/>
        </w:rPr>
        <w:br/>
        <w:t>— Управление информатики; </w:t>
      </w:r>
      <w:r>
        <w:rPr>
          <w:rFonts w:ascii="Proxima Nova" w:hAnsi="Proxima Nova"/>
          <w:color w:val="031D4B"/>
          <w:sz w:val="21"/>
          <w:szCs w:val="21"/>
        </w:rPr>
        <w:br/>
        <w:t>— Управление НТР; </w:t>
      </w:r>
      <w:r>
        <w:rPr>
          <w:rFonts w:ascii="Proxima Nova" w:hAnsi="Proxima Nova"/>
          <w:color w:val="031D4B"/>
          <w:sz w:val="21"/>
          <w:szCs w:val="21"/>
        </w:rPr>
        <w:br/>
        <w:t>— Управление опертехники; </w:t>
      </w:r>
      <w:r>
        <w:rPr>
          <w:rFonts w:ascii="Proxima Nova" w:hAnsi="Proxima Nova"/>
          <w:color w:val="031D4B"/>
          <w:sz w:val="21"/>
          <w:szCs w:val="21"/>
        </w:rPr>
        <w:br/>
        <w:t>— Управление экономической разведки; </w:t>
      </w:r>
      <w:r>
        <w:rPr>
          <w:rFonts w:ascii="Proxima Nova" w:hAnsi="Proxima Nova"/>
          <w:color w:val="031D4B"/>
          <w:sz w:val="21"/>
          <w:szCs w:val="21"/>
        </w:rPr>
        <w:br/>
        <w:t>— Служба эксплуатации и обеспечения; </w:t>
      </w:r>
      <w:r>
        <w:rPr>
          <w:rFonts w:ascii="Proxima Nova" w:hAnsi="Proxima Nova"/>
          <w:color w:val="031D4B"/>
          <w:sz w:val="21"/>
          <w:szCs w:val="21"/>
        </w:rPr>
        <w:br/>
        <w:t>— Отдел надзорно-разрешительной деятельности.</w:t>
      </w:r>
    </w:p>
    <w:p w:rsidR="00243221" w:rsidRPr="001C34A2" w:rsidRDefault="00243221" w:rsidP="009E0989">
      <w:pPr>
        <w:spacing w:after="0" w:line="240" w:lineRule="auto"/>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w:altName w:val="Times New Roman"/>
    <w:panose1 w:val="00000000000000000000"/>
    <w:charset w:val="00"/>
    <w:family w:val="roman"/>
    <w:notTrueType/>
    <w:pitch w:val="default"/>
  </w:font>
  <w:font w:name="FranklinGothic-MediumCon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95E59"/>
    <w:rsid w:val="009E0989"/>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0F38"/>
  <w15:docId w15:val="{892A3121-5C8D-43E0-8780-5DD1238C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767458494">
      <w:bodyDiv w:val="1"/>
      <w:marLeft w:val="0"/>
      <w:marRight w:val="0"/>
      <w:marTop w:val="0"/>
      <w:marBottom w:val="0"/>
      <w:divBdr>
        <w:top w:val="none" w:sz="0" w:space="0" w:color="auto"/>
        <w:left w:val="none" w:sz="0" w:space="0" w:color="auto"/>
        <w:bottom w:val="none" w:sz="0" w:space="0" w:color="auto"/>
        <w:right w:val="none" w:sz="0" w:space="0" w:color="auto"/>
      </w:divBdr>
      <w:divsChild>
        <w:div w:id="617487183">
          <w:marLeft w:val="0"/>
          <w:marRight w:val="0"/>
          <w:marTop w:val="0"/>
          <w:marBottom w:val="600"/>
          <w:divBdr>
            <w:top w:val="none" w:sz="0" w:space="0" w:color="auto"/>
            <w:left w:val="none" w:sz="0" w:space="0" w:color="auto"/>
            <w:bottom w:val="none" w:sz="0" w:space="0" w:color="auto"/>
            <w:right w:val="none" w:sz="0" w:space="0" w:color="auto"/>
          </w:divBdr>
        </w:div>
        <w:div w:id="1369720484">
          <w:marLeft w:val="0"/>
          <w:marRight w:val="0"/>
          <w:marTop w:val="0"/>
          <w:marBottom w:val="0"/>
          <w:divBdr>
            <w:top w:val="none" w:sz="0" w:space="0" w:color="auto"/>
            <w:left w:val="none" w:sz="0" w:space="0" w:color="auto"/>
            <w:bottom w:val="none" w:sz="0" w:space="0" w:color="auto"/>
            <w:right w:val="none" w:sz="0" w:space="0" w:color="auto"/>
          </w:divBdr>
          <w:divsChild>
            <w:div w:id="673723091">
              <w:marLeft w:val="0"/>
              <w:marRight w:val="0"/>
              <w:marTop w:val="0"/>
              <w:marBottom w:val="0"/>
              <w:divBdr>
                <w:top w:val="none" w:sz="0" w:space="0" w:color="auto"/>
                <w:left w:val="none" w:sz="0" w:space="0" w:color="auto"/>
                <w:bottom w:val="none" w:sz="0" w:space="0" w:color="auto"/>
                <w:right w:val="none" w:sz="0" w:space="0" w:color="auto"/>
              </w:divBdr>
            </w:div>
            <w:div w:id="140155667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3468">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2024-05-03T06:40:00Z</dcterms:modified>
</cp:coreProperties>
</file>