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7B" w:rsidRPr="0090387B" w:rsidRDefault="0090387B" w:rsidP="0090387B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90387B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t>СПИСОК</w:t>
      </w:r>
    </w:p>
    <w:p w:rsidR="0090387B" w:rsidRPr="0090387B" w:rsidRDefault="0090387B" w:rsidP="0090387B">
      <w:pPr>
        <w:shd w:val="clear" w:color="auto" w:fill="FFFFFF"/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90387B">
        <w:rPr>
          <w:rFonts w:ascii="Helvetica" w:eastAsia="Times New Roman" w:hAnsi="Helvetica" w:cs="Helvetica"/>
          <w:color w:val="444444"/>
          <w:szCs w:val="24"/>
          <w:lang w:eastAsia="ru-RU"/>
        </w:rPr>
        <w:t>служащих Местной Администрации</w:t>
      </w:r>
    </w:p>
    <w:p w:rsidR="0090387B" w:rsidRPr="0090387B" w:rsidRDefault="0090387B" w:rsidP="0090387B">
      <w:pPr>
        <w:shd w:val="clear" w:color="auto" w:fill="FFFFFF"/>
        <w:spacing w:after="24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90387B">
        <w:rPr>
          <w:rFonts w:ascii="Helvetica" w:eastAsia="Times New Roman" w:hAnsi="Helvetica" w:cs="Helvetica"/>
          <w:color w:val="444444"/>
          <w:szCs w:val="24"/>
          <w:lang w:eastAsia="ru-RU"/>
        </w:rPr>
        <w:t>муниципального образования муниципальный округ Морские ворота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4950"/>
      </w:tblGrid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Константинов Владимир Геральдович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Ведущий специалист по правовым вопросам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Гергелюк Ирина Владимировна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Ведущий специалист по благоустройству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Азгаев Сергей Васильевич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Ведущий специалист по кадровым вопросам и делопроизводству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Мусинова Татьяна Алексеевна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Руководитель структурного подразделения по финансово-экономической деятельности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Соляникова Татьяна Александровна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Главный специалист по бюджетному планированию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Мотыжова Елена Завдатовна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Главный специалист, к должностным обязанностям которого отнесено выполнение отдельных государственных полномочий по опеке и попечительству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Шестакова Любовь Васильевна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  <w:tr w:rsidR="0090387B" w:rsidRPr="0090387B" w:rsidTr="0090387B">
        <w:tc>
          <w:tcPr>
            <w:tcW w:w="63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Специалист I категории, к должностным обязанностям которого отнесено выполнение отдельных государственных полномочий по опеке и попечительству</w:t>
            </w:r>
          </w:p>
        </w:tc>
        <w:tc>
          <w:tcPr>
            <w:tcW w:w="378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0387B" w:rsidRPr="0090387B" w:rsidRDefault="0090387B" w:rsidP="0090387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Сатарова Анна Леонидовна</w:t>
            </w:r>
          </w:p>
          <w:p w:rsidR="0090387B" w:rsidRPr="0090387B" w:rsidRDefault="0090387B" w:rsidP="0090387B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90387B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</w:tr>
    </w:tbl>
    <w:p w:rsidR="007050BF" w:rsidRDefault="007050BF" w:rsidP="001C34A2"/>
    <w:p w:rsidR="007050BF" w:rsidRPr="007050BF" w:rsidRDefault="007050BF" w:rsidP="007050BF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Helvetica" w:hAnsi="Helvetica" w:cs="Helvetica"/>
          <w:color w:val="444444"/>
        </w:rPr>
      </w:pPr>
      <w:r>
        <w:br w:type="page"/>
      </w:r>
      <w:r w:rsidRPr="007050BF">
        <w:rPr>
          <w:rFonts w:ascii="Helvetica" w:hAnsi="Helvetica" w:cs="Helvetica"/>
          <w:b/>
          <w:bCs/>
          <w:color w:val="444444"/>
          <w:bdr w:val="none" w:sz="0" w:space="0" w:color="auto" w:frame="1"/>
        </w:rPr>
        <w:lastRenderedPageBreak/>
        <w:t>Местная Администрация</w:t>
      </w:r>
    </w:p>
    <w:p w:rsidR="007050BF" w:rsidRPr="007050BF" w:rsidRDefault="007050BF" w:rsidP="007050BF">
      <w:pPr>
        <w:shd w:val="clear" w:color="auto" w:fill="FFFFFF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7050BF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t>Часы приема граждан</w:t>
      </w:r>
    </w:p>
    <w:p w:rsidR="007050BF" w:rsidRPr="007050BF" w:rsidRDefault="007050BF" w:rsidP="007050BF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444444"/>
          <w:szCs w:val="24"/>
          <w:lang w:eastAsia="ru-RU"/>
        </w:rPr>
      </w:pPr>
      <w:r w:rsidRPr="007050BF">
        <w:rPr>
          <w:rFonts w:ascii="Helvetica" w:eastAsia="Times New Roman" w:hAnsi="Helvetica" w:cs="Helvetica"/>
          <w:b/>
          <w:bCs/>
          <w:color w:val="444444"/>
          <w:szCs w:val="24"/>
          <w:bdr w:val="none" w:sz="0" w:space="0" w:color="auto" w:frame="1"/>
          <w:lang w:eastAsia="ru-RU"/>
        </w:rPr>
        <w:t> </w:t>
      </w:r>
    </w:p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2409"/>
        <w:gridCol w:w="2939"/>
        <w:gridCol w:w="2971"/>
        <w:gridCol w:w="1786"/>
      </w:tblGrid>
      <w:tr w:rsidR="007050BF" w:rsidRPr="007050BF" w:rsidTr="000E270C">
        <w:tc>
          <w:tcPr>
            <w:tcW w:w="30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Фамилия</w:t>
            </w:r>
          </w:p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Имя</w:t>
            </w:r>
          </w:p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29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Вопрос</w:t>
            </w:r>
          </w:p>
        </w:tc>
        <w:tc>
          <w:tcPr>
            <w:tcW w:w="29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Часы приема</w:t>
            </w:r>
          </w:p>
        </w:tc>
        <w:tc>
          <w:tcPr>
            <w:tcW w:w="17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7050BF" w:rsidRPr="007050BF" w:rsidRDefault="007050BF" w:rsidP="007050BF">
            <w:pPr>
              <w:spacing w:after="0" w:line="36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b/>
                <w:bCs/>
                <w:color w:val="44444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7050BF" w:rsidRPr="007050BF" w:rsidTr="000E270C">
        <w:tc>
          <w:tcPr>
            <w:tcW w:w="30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И.о. Главы Местной Администрации – Заместитель Главы Местной Администрации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Константинов Владимир Геральдович</w:t>
            </w:r>
          </w:p>
        </w:tc>
        <w:tc>
          <w:tcPr>
            <w:tcW w:w="29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Вопросы местного значения</w:t>
            </w:r>
          </w:p>
        </w:tc>
        <w:tc>
          <w:tcPr>
            <w:tcW w:w="29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По предварительной записи</w:t>
            </w:r>
          </w:p>
        </w:tc>
        <w:tc>
          <w:tcPr>
            <w:tcW w:w="17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746-90-45</w:t>
            </w:r>
          </w:p>
        </w:tc>
      </w:tr>
      <w:tr w:rsidR="007050BF" w:rsidRPr="007050BF" w:rsidTr="000E270C">
        <w:tc>
          <w:tcPr>
            <w:tcW w:w="30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Главный специалист, к должностным обязанностям которого отнесено выполнение отдельных государственных полномочий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Шестакова Любовь Васильевна</w:t>
            </w:r>
          </w:p>
        </w:tc>
        <w:tc>
          <w:tcPr>
            <w:tcW w:w="29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Вопросы связанные с опекой и попечительством</w:t>
            </w:r>
          </w:p>
        </w:tc>
        <w:tc>
          <w:tcPr>
            <w:tcW w:w="29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Каждый четверг с 16:00 до 18:00</w:t>
            </w:r>
          </w:p>
        </w:tc>
        <w:tc>
          <w:tcPr>
            <w:tcW w:w="17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746-90-32</w:t>
            </w:r>
          </w:p>
        </w:tc>
      </w:tr>
      <w:tr w:rsidR="007050BF" w:rsidRPr="007050BF" w:rsidTr="000E270C">
        <w:tc>
          <w:tcPr>
            <w:tcW w:w="30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Ведущий специалист по благоустройству</w:t>
            </w:r>
          </w:p>
        </w:tc>
        <w:tc>
          <w:tcPr>
            <w:tcW w:w="240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Азгаев Сергей Васильевич</w:t>
            </w:r>
          </w:p>
          <w:p w:rsidR="007050BF" w:rsidRPr="007050BF" w:rsidRDefault="007050BF" w:rsidP="007050BF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Вопросы ГО и ЧС</w:t>
            </w:r>
          </w:p>
        </w:tc>
        <w:tc>
          <w:tcPr>
            <w:tcW w:w="297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Каждый вторник с 12:00 до 16:00</w:t>
            </w:r>
          </w:p>
          <w:p w:rsidR="007050BF" w:rsidRPr="007050BF" w:rsidRDefault="007050BF" w:rsidP="007050BF">
            <w:pPr>
              <w:spacing w:after="240" w:line="360" w:lineRule="atLeast"/>
              <w:textAlignment w:val="baseline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7050BF" w:rsidRPr="007050BF" w:rsidRDefault="007050BF" w:rsidP="007050BF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7050BF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746-90-45</w:t>
            </w:r>
          </w:p>
        </w:tc>
      </w:tr>
    </w:tbl>
    <w:p w:rsidR="00243221" w:rsidRPr="001C34A2" w:rsidRDefault="000E270C" w:rsidP="007050BF">
      <w:pPr>
        <w:spacing w:after="0" w:line="240" w:lineRule="auto"/>
      </w:pPr>
      <w:r w:rsidRPr="000E270C">
        <w:lastRenderedPageBreak/>
        <w:drawing>
          <wp:inline distT="0" distB="0" distL="0" distR="0" wp14:anchorId="78B44EA1" wp14:editId="2FFF368B">
            <wp:extent cx="7821116" cy="5792008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1116" cy="579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270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50BF"/>
    <w:rsid w:val="00727EB8"/>
    <w:rsid w:val="00765429"/>
    <w:rsid w:val="00777841"/>
    <w:rsid w:val="00807380"/>
    <w:rsid w:val="008C09C5"/>
    <w:rsid w:val="0090387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D9F0"/>
  <w15:docId w15:val="{DC08F4B3-91D0-4F43-9AEC-97C57CD6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2024-04-12T05:05:00Z</dcterms:modified>
</cp:coreProperties>
</file>