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35F" w:rsidRDefault="00DF535F" w:rsidP="00665F01">
      <w:pPr>
        <w:tabs>
          <w:tab w:val="left" w:pos="426"/>
          <w:tab w:val="left" w:pos="9072"/>
        </w:tabs>
        <w:spacing w:after="0" w:line="240" w:lineRule="auto"/>
        <w:jc w:val="center"/>
        <w:rPr>
          <w:b/>
          <w:sz w:val="26"/>
          <w:szCs w:val="26"/>
        </w:rPr>
      </w:pPr>
      <w:r w:rsidRPr="00665F01">
        <w:rPr>
          <w:b/>
          <w:sz w:val="26"/>
          <w:szCs w:val="26"/>
        </w:rPr>
        <w:t>Обобщенная информация об исполнении (ненадлежащем</w:t>
      </w:r>
    </w:p>
    <w:p w:rsidR="00DF535F" w:rsidRDefault="00DF535F" w:rsidP="00325323">
      <w:pPr>
        <w:tabs>
          <w:tab w:val="left" w:pos="426"/>
          <w:tab w:val="left" w:pos="9072"/>
        </w:tabs>
        <w:spacing w:after="0" w:line="240" w:lineRule="auto"/>
        <w:jc w:val="center"/>
        <w:rPr>
          <w:b/>
          <w:sz w:val="26"/>
          <w:szCs w:val="26"/>
        </w:rPr>
      </w:pPr>
      <w:r w:rsidRPr="00665F01">
        <w:rPr>
          <w:b/>
          <w:sz w:val="26"/>
          <w:szCs w:val="26"/>
        </w:rPr>
        <w:t xml:space="preserve">исполнении) лицами, замещающими муниципальные должности </w:t>
      </w:r>
    </w:p>
    <w:p w:rsidR="00DF535F" w:rsidRDefault="00DF535F" w:rsidP="00325323">
      <w:pPr>
        <w:tabs>
          <w:tab w:val="left" w:pos="426"/>
          <w:tab w:val="left" w:pos="9072"/>
        </w:tabs>
        <w:spacing w:after="0" w:line="240" w:lineRule="auto"/>
        <w:jc w:val="center"/>
        <w:rPr>
          <w:b/>
          <w:sz w:val="26"/>
          <w:szCs w:val="26"/>
        </w:rPr>
      </w:pPr>
      <w:r w:rsidRPr="00665F01">
        <w:rPr>
          <w:b/>
          <w:sz w:val="26"/>
          <w:szCs w:val="26"/>
        </w:rPr>
        <w:t xml:space="preserve">депутата представительного органа муниципального образования, обязанности представить сведения о доходах, расходах, об имуществе </w:t>
      </w:r>
    </w:p>
    <w:p w:rsidR="00DF535F" w:rsidRPr="00665F01" w:rsidRDefault="00DF535F" w:rsidP="00325323">
      <w:pPr>
        <w:tabs>
          <w:tab w:val="left" w:pos="426"/>
          <w:tab w:val="left" w:pos="9072"/>
        </w:tabs>
        <w:spacing w:after="0" w:line="240" w:lineRule="auto"/>
        <w:jc w:val="center"/>
        <w:rPr>
          <w:b/>
          <w:sz w:val="26"/>
          <w:szCs w:val="26"/>
        </w:rPr>
      </w:pPr>
      <w:r w:rsidRPr="00665F01">
        <w:rPr>
          <w:b/>
          <w:sz w:val="26"/>
          <w:szCs w:val="26"/>
        </w:rPr>
        <w:t>и обязательствах имущественного характера</w:t>
      </w:r>
    </w:p>
    <w:p w:rsidR="00DF535F" w:rsidRDefault="00DF535F" w:rsidP="004134C6">
      <w:pPr>
        <w:tabs>
          <w:tab w:val="left" w:pos="426"/>
          <w:tab w:val="left" w:pos="9072"/>
        </w:tabs>
        <w:spacing w:after="0" w:line="240" w:lineRule="auto"/>
        <w:ind w:firstLine="708"/>
        <w:jc w:val="both"/>
        <w:rPr>
          <w:b/>
          <w:sz w:val="26"/>
          <w:szCs w:val="26"/>
        </w:rPr>
      </w:pPr>
    </w:p>
    <w:p w:rsidR="00DF535F" w:rsidRPr="00BE315C" w:rsidRDefault="00DF535F" w:rsidP="004134C6">
      <w:pPr>
        <w:tabs>
          <w:tab w:val="left" w:pos="426"/>
          <w:tab w:val="left" w:pos="9072"/>
        </w:tabs>
        <w:spacing w:after="0" w:line="240" w:lineRule="auto"/>
        <w:ind w:firstLine="708"/>
        <w:jc w:val="both"/>
        <w:rPr>
          <w:b/>
          <w:sz w:val="26"/>
          <w:szCs w:val="26"/>
        </w:rPr>
      </w:pPr>
      <w:r>
        <w:rPr>
          <w:b/>
          <w:sz w:val="26"/>
          <w:szCs w:val="26"/>
        </w:rPr>
        <w:t>Д</w:t>
      </w:r>
      <w:r w:rsidRPr="000230F7">
        <w:rPr>
          <w:b/>
          <w:sz w:val="26"/>
          <w:szCs w:val="26"/>
        </w:rPr>
        <w:t>епутат</w:t>
      </w:r>
      <w:r>
        <w:rPr>
          <w:b/>
          <w:sz w:val="26"/>
          <w:szCs w:val="26"/>
        </w:rPr>
        <w:t>ы</w:t>
      </w:r>
      <w:r w:rsidRPr="000230F7">
        <w:rPr>
          <w:b/>
          <w:sz w:val="26"/>
          <w:szCs w:val="26"/>
        </w:rPr>
        <w:t xml:space="preserve"> представительного органа муници</w:t>
      </w:r>
      <w:r>
        <w:rPr>
          <w:b/>
          <w:sz w:val="26"/>
          <w:szCs w:val="26"/>
        </w:rPr>
        <w:t>пального образования,</w:t>
      </w:r>
      <w:r w:rsidRPr="000230F7">
        <w:rPr>
          <w:b/>
          <w:sz w:val="26"/>
          <w:szCs w:val="26"/>
        </w:rPr>
        <w:t xml:space="preserve"> осуществляющи</w:t>
      </w:r>
      <w:r>
        <w:rPr>
          <w:b/>
          <w:sz w:val="26"/>
          <w:szCs w:val="26"/>
        </w:rPr>
        <w:t>е</w:t>
      </w:r>
      <w:r w:rsidRPr="000230F7">
        <w:rPr>
          <w:b/>
          <w:sz w:val="26"/>
          <w:szCs w:val="26"/>
        </w:rPr>
        <w:t xml:space="preserve"> свои полномочия на непостоянной основе</w:t>
      </w:r>
      <w:r>
        <w:rPr>
          <w:b/>
          <w:sz w:val="26"/>
          <w:szCs w:val="26"/>
        </w:rPr>
        <w:t>.</w:t>
      </w:r>
    </w:p>
    <w:p w:rsidR="00DF535F" w:rsidRDefault="00DF535F" w:rsidP="004134C6">
      <w:pPr>
        <w:tabs>
          <w:tab w:val="left" w:pos="426"/>
          <w:tab w:val="left" w:pos="9072"/>
        </w:tabs>
        <w:spacing w:after="0" w:line="240" w:lineRule="auto"/>
        <w:ind w:firstLine="708"/>
        <w:jc w:val="both"/>
        <w:rPr>
          <w:sz w:val="26"/>
          <w:szCs w:val="26"/>
        </w:rPr>
      </w:pPr>
      <w:r>
        <w:rPr>
          <w:sz w:val="26"/>
          <w:szCs w:val="26"/>
        </w:rPr>
        <w:t xml:space="preserve">Из 24 лиц, замещающих муниципальные должности депутатов </w:t>
      </w:r>
      <w:r w:rsidRPr="00E47106">
        <w:rPr>
          <w:sz w:val="26"/>
          <w:szCs w:val="26"/>
        </w:rPr>
        <w:t>Собрани</w:t>
      </w:r>
      <w:r>
        <w:rPr>
          <w:sz w:val="26"/>
          <w:szCs w:val="26"/>
        </w:rPr>
        <w:t>я</w:t>
      </w:r>
      <w:r w:rsidRPr="00E47106">
        <w:rPr>
          <w:sz w:val="26"/>
          <w:szCs w:val="26"/>
        </w:rPr>
        <w:t xml:space="preserve"> </w:t>
      </w:r>
      <w:r>
        <w:rPr>
          <w:sz w:val="26"/>
          <w:szCs w:val="26"/>
        </w:rPr>
        <w:t>д</w:t>
      </w:r>
      <w:r w:rsidRPr="00E47106">
        <w:rPr>
          <w:sz w:val="26"/>
          <w:szCs w:val="26"/>
        </w:rPr>
        <w:t xml:space="preserve">епутатов </w:t>
      </w:r>
      <w:r>
        <w:rPr>
          <w:sz w:val="26"/>
          <w:szCs w:val="26"/>
        </w:rPr>
        <w:t xml:space="preserve">Цивильского муниципального округа </w:t>
      </w:r>
      <w:r w:rsidRPr="00E47106">
        <w:rPr>
          <w:sz w:val="26"/>
          <w:szCs w:val="26"/>
        </w:rPr>
        <w:t>Чувашской Республики</w:t>
      </w:r>
      <w:r>
        <w:rPr>
          <w:sz w:val="26"/>
          <w:szCs w:val="26"/>
        </w:rPr>
        <w:t xml:space="preserve"> и осуществляющих свои полномочия на непостоянной основе, обязанность по представлению сведений о доходах, об имуществе и обязательствах имущественного характера за отчетный 2022 год исполнена 1 должностным лицом.</w:t>
      </w:r>
    </w:p>
    <w:p w:rsidR="00DF535F" w:rsidRDefault="00DF535F" w:rsidP="004134C6">
      <w:pPr>
        <w:tabs>
          <w:tab w:val="left" w:pos="426"/>
          <w:tab w:val="left" w:pos="9072"/>
        </w:tabs>
        <w:spacing w:after="0" w:line="240" w:lineRule="auto"/>
        <w:ind w:firstLine="708"/>
        <w:jc w:val="both"/>
        <w:rPr>
          <w:sz w:val="26"/>
          <w:szCs w:val="26"/>
        </w:rPr>
      </w:pPr>
      <w:r>
        <w:rPr>
          <w:sz w:val="26"/>
          <w:szCs w:val="26"/>
        </w:rPr>
        <w:t xml:space="preserve">23 лицами, замещающими муниципальные должности </w:t>
      </w:r>
      <w:r w:rsidRPr="00FA34C5">
        <w:rPr>
          <w:sz w:val="26"/>
          <w:szCs w:val="26"/>
        </w:rPr>
        <w:t xml:space="preserve">депутатов </w:t>
      </w:r>
      <w:r w:rsidRPr="00E47106">
        <w:rPr>
          <w:sz w:val="26"/>
          <w:szCs w:val="26"/>
        </w:rPr>
        <w:t>Собрани</w:t>
      </w:r>
      <w:r>
        <w:rPr>
          <w:sz w:val="26"/>
          <w:szCs w:val="26"/>
        </w:rPr>
        <w:t>я</w:t>
      </w:r>
      <w:r w:rsidRPr="00E47106">
        <w:rPr>
          <w:sz w:val="26"/>
          <w:szCs w:val="26"/>
        </w:rPr>
        <w:t xml:space="preserve"> </w:t>
      </w:r>
      <w:r>
        <w:rPr>
          <w:sz w:val="26"/>
          <w:szCs w:val="26"/>
        </w:rPr>
        <w:t>д</w:t>
      </w:r>
      <w:r w:rsidRPr="00E47106">
        <w:rPr>
          <w:sz w:val="26"/>
          <w:szCs w:val="26"/>
        </w:rPr>
        <w:t xml:space="preserve">епутатов </w:t>
      </w:r>
      <w:r>
        <w:rPr>
          <w:sz w:val="26"/>
          <w:szCs w:val="26"/>
        </w:rPr>
        <w:t>Цивильского муниципального округа</w:t>
      </w:r>
      <w:r w:rsidRPr="00FA34C5">
        <w:rPr>
          <w:sz w:val="26"/>
          <w:szCs w:val="26"/>
        </w:rPr>
        <w:t xml:space="preserve"> Чувашской Республики </w:t>
      </w:r>
      <w:r>
        <w:rPr>
          <w:sz w:val="26"/>
          <w:szCs w:val="26"/>
        </w:rPr>
        <w:t xml:space="preserve">и осуществляющими свои полномочия на непостоянной основе, представлены </w:t>
      </w:r>
      <w:hyperlink r:id="rId4" w:history="1">
        <w:r w:rsidRPr="00FF3E02">
          <w:rPr>
            <w:sz w:val="26"/>
            <w:szCs w:val="26"/>
          </w:rPr>
          <w:t>сообщения</w:t>
        </w:r>
      </w:hyperlink>
      <w:r>
        <w:rPr>
          <w:sz w:val="26"/>
          <w:szCs w:val="26"/>
        </w:rPr>
        <w:t xml:space="preserve"> о несовершении в течение 2022 года сделок, предусмотренных </w:t>
      </w:r>
      <w:hyperlink r:id="rId5" w:history="1">
        <w:r w:rsidRPr="00FF3E02">
          <w:rPr>
            <w:sz w:val="26"/>
            <w:szCs w:val="26"/>
          </w:rPr>
          <w:t>частью 5 статьи 2</w:t>
        </w:r>
      </w:hyperlink>
      <w:r>
        <w:rPr>
          <w:sz w:val="26"/>
          <w:szCs w:val="26"/>
        </w:rPr>
        <w:t xml:space="preserve"> </w:t>
      </w:r>
      <w:hyperlink r:id="rId6" w:history="1">
        <w:r w:rsidRPr="00FF3E02">
          <w:rPr>
            <w:sz w:val="26"/>
            <w:szCs w:val="26"/>
          </w:rPr>
          <w:t>Закона</w:t>
        </w:r>
      </w:hyperlink>
      <w:r>
        <w:rPr>
          <w:sz w:val="26"/>
          <w:szCs w:val="26"/>
        </w:rPr>
        <w:t xml:space="preserve">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w:t>
      </w:r>
    </w:p>
    <w:p w:rsidR="00DF535F" w:rsidRDefault="00DF535F" w:rsidP="004134C6">
      <w:pPr>
        <w:tabs>
          <w:tab w:val="left" w:pos="426"/>
          <w:tab w:val="left" w:pos="9072"/>
        </w:tabs>
        <w:spacing w:after="0" w:line="240" w:lineRule="auto"/>
        <w:ind w:firstLine="708"/>
        <w:jc w:val="both"/>
        <w:rPr>
          <w:sz w:val="26"/>
          <w:szCs w:val="26"/>
        </w:rPr>
      </w:pPr>
    </w:p>
    <w:p w:rsidR="00DF535F" w:rsidRPr="00DF14D3" w:rsidRDefault="00DF535F" w:rsidP="004134C6">
      <w:pPr>
        <w:tabs>
          <w:tab w:val="left" w:pos="426"/>
          <w:tab w:val="left" w:pos="9072"/>
        </w:tabs>
        <w:spacing w:after="0" w:line="240" w:lineRule="auto"/>
        <w:ind w:firstLine="708"/>
        <w:jc w:val="both"/>
        <w:rPr>
          <w:i/>
          <w:sz w:val="26"/>
          <w:szCs w:val="26"/>
        </w:rPr>
      </w:pPr>
      <w:r w:rsidRPr="00DF14D3">
        <w:rPr>
          <w:i/>
          <w:sz w:val="26"/>
          <w:szCs w:val="26"/>
        </w:rPr>
        <w:t>Примечание:</w:t>
      </w:r>
      <w:r>
        <w:rPr>
          <w:i/>
          <w:sz w:val="26"/>
          <w:szCs w:val="26"/>
        </w:rPr>
        <w:t xml:space="preserve"> л</w:t>
      </w:r>
      <w:r w:rsidRPr="00DF14D3">
        <w:rPr>
          <w:i/>
          <w:sz w:val="26"/>
          <w:szCs w:val="26"/>
        </w:rPr>
        <w:t xml:space="preserve">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7" w:history="1">
        <w:r w:rsidRPr="00DF14D3">
          <w:rPr>
            <w:i/>
            <w:sz w:val="26"/>
            <w:szCs w:val="26"/>
          </w:rPr>
          <w:t>частью 4.2 статьи 12.1</w:t>
        </w:r>
      </w:hyperlink>
      <w:r w:rsidRPr="00DF14D3">
        <w:rPr>
          <w:i/>
          <w:sz w:val="26"/>
          <w:szCs w:val="26"/>
        </w:rPr>
        <w:t xml:space="preserve"> Федерального зако</w:t>
      </w:r>
      <w:r>
        <w:rPr>
          <w:i/>
          <w:sz w:val="26"/>
          <w:szCs w:val="26"/>
        </w:rPr>
        <w:t>на от 25 декабря 2008 г. №</w:t>
      </w:r>
      <w:r w:rsidRPr="00DF14D3">
        <w:rPr>
          <w:i/>
          <w:sz w:val="26"/>
          <w:szCs w:val="26"/>
        </w:rPr>
        <w:t xml:space="preserve"> 273-ФЗ </w:t>
      </w:r>
      <w:r>
        <w:rPr>
          <w:i/>
          <w:sz w:val="26"/>
          <w:szCs w:val="26"/>
        </w:rPr>
        <w:t>«</w:t>
      </w:r>
      <w:r w:rsidRPr="00DF14D3">
        <w:rPr>
          <w:i/>
          <w:sz w:val="26"/>
          <w:szCs w:val="26"/>
        </w:rPr>
        <w:t>О противодействии корруп</w:t>
      </w:r>
      <w:r>
        <w:rPr>
          <w:i/>
          <w:sz w:val="26"/>
          <w:szCs w:val="26"/>
        </w:rPr>
        <w:t>ции»</w:t>
      </w:r>
      <w:r w:rsidRPr="00DF14D3">
        <w:rPr>
          <w:i/>
          <w:sz w:val="26"/>
          <w:szCs w:val="26"/>
        </w:rPr>
        <w:t xml:space="preserve">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w:t>
      </w:r>
      <w:r>
        <w:rPr>
          <w:i/>
          <w:sz w:val="26"/>
          <w:szCs w:val="26"/>
        </w:rPr>
        <w:t xml:space="preserve">летних детей </w:t>
      </w:r>
      <w:r w:rsidRPr="00DF14D3">
        <w:rPr>
          <w:i/>
          <w:sz w:val="26"/>
          <w:szCs w:val="26"/>
        </w:rPr>
        <w:t>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w:t>
      </w:r>
      <w:r>
        <w:rPr>
          <w:i/>
          <w:sz w:val="26"/>
          <w:szCs w:val="26"/>
        </w:rPr>
        <w:t xml:space="preserve">ера (с 1 января по 31 декабря) </w:t>
      </w:r>
      <w:r w:rsidRPr="00DF14D3">
        <w:rPr>
          <w:i/>
          <w:sz w:val="26"/>
          <w:szCs w:val="26"/>
        </w:rPr>
        <w:t xml:space="preserve">сделок, предусмотренных </w:t>
      </w:r>
      <w:hyperlink r:id="rId8" w:history="1">
        <w:r w:rsidRPr="00DF14D3">
          <w:rPr>
            <w:i/>
            <w:sz w:val="26"/>
            <w:szCs w:val="26"/>
          </w:rPr>
          <w:t>частью 5</w:t>
        </w:r>
      </w:hyperlink>
      <w:r w:rsidRPr="00DF14D3">
        <w:rPr>
          <w:i/>
          <w:sz w:val="26"/>
          <w:szCs w:val="26"/>
        </w:rPr>
        <w:t xml:space="preserve">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DF535F" w:rsidRPr="009F4195" w:rsidRDefault="00DF535F"/>
    <w:p w:rsidR="00DF535F" w:rsidRDefault="00DF535F">
      <w:pPr>
        <w:widowControl w:val="0"/>
        <w:spacing w:after="0" w:line="240" w:lineRule="auto"/>
        <w:ind w:right="282" w:firstLine="709"/>
        <w:rPr>
          <w:b/>
          <w:sz w:val="26"/>
          <w:szCs w:val="26"/>
        </w:rPr>
      </w:pPr>
    </w:p>
    <w:p w:rsidR="00DF535F" w:rsidRDefault="00DF535F">
      <w:pPr>
        <w:widowControl w:val="0"/>
        <w:spacing w:after="0" w:line="240" w:lineRule="auto"/>
        <w:ind w:right="282" w:firstLine="709"/>
        <w:rPr>
          <w:b/>
          <w:sz w:val="26"/>
          <w:szCs w:val="26"/>
        </w:rPr>
      </w:pPr>
      <w:r>
        <w:rPr>
          <w:b/>
          <w:sz w:val="26"/>
          <w:szCs w:val="26"/>
        </w:rPr>
        <w:t>Муниципальные служащие.</w:t>
      </w:r>
    </w:p>
    <w:p w:rsidR="00DF535F" w:rsidRDefault="00DF535F">
      <w:pPr>
        <w:tabs>
          <w:tab w:val="left" w:pos="426"/>
          <w:tab w:val="left" w:pos="9072"/>
        </w:tabs>
        <w:spacing w:after="0" w:line="240" w:lineRule="auto"/>
        <w:ind w:firstLine="708"/>
        <w:jc w:val="both"/>
        <w:rPr>
          <w:sz w:val="26"/>
          <w:szCs w:val="26"/>
        </w:rPr>
      </w:pPr>
      <w:bookmarkStart w:id="0" w:name="sub_44"/>
      <w:r>
        <w:rPr>
          <w:sz w:val="26"/>
          <w:szCs w:val="26"/>
        </w:rPr>
        <w:t xml:space="preserve">Из 94 лиц, замещающих должности муниципальной службы </w:t>
      </w:r>
      <w:r>
        <w:rPr>
          <w:sz w:val="26"/>
          <w:szCs w:val="26"/>
        </w:rPr>
        <w:br/>
        <w:t>в администрации Цивильского муниципального округа Чувашской Республики, обязанных представить сведения о доходах, об имуществе и обязательствах имущественного характера за отчетный 2022 год, данная обязанность исполнена всеми 94 должностными лицами.</w:t>
      </w:r>
    </w:p>
    <w:bookmarkEnd w:id="0"/>
    <w:p w:rsidR="00DF535F" w:rsidRDefault="00DF535F"/>
    <w:p w:rsidR="00DF535F" w:rsidRDefault="00DF535F">
      <w:pPr>
        <w:tabs>
          <w:tab w:val="left" w:pos="426"/>
          <w:tab w:val="left" w:pos="9072"/>
        </w:tabs>
        <w:spacing w:after="0" w:line="240" w:lineRule="auto"/>
        <w:ind w:firstLine="708"/>
        <w:jc w:val="both"/>
        <w:rPr>
          <w:rFonts w:eastAsia="Times New Roman"/>
          <w:b/>
          <w:sz w:val="26"/>
          <w:szCs w:val="26"/>
        </w:rPr>
      </w:pPr>
      <w:r>
        <w:rPr>
          <w:rFonts w:eastAsia="Times New Roman"/>
          <w:b/>
          <w:sz w:val="26"/>
          <w:szCs w:val="26"/>
        </w:rPr>
        <w:lastRenderedPageBreak/>
        <w:t>Глава Цивильского муниципального округа Чувашской Республики (возглавляющий администрацию Цивильского муниципального округа Чувашской Республики и осуществляющий полномочия на постоянной основе).</w:t>
      </w:r>
    </w:p>
    <w:p w:rsidR="00DF535F" w:rsidRDefault="00DF535F">
      <w:pPr>
        <w:tabs>
          <w:tab w:val="left" w:pos="426"/>
          <w:tab w:val="left" w:pos="9072"/>
        </w:tabs>
        <w:spacing w:after="0" w:line="240" w:lineRule="auto"/>
        <w:ind w:firstLine="708"/>
        <w:jc w:val="both"/>
        <w:rPr>
          <w:rFonts w:eastAsia="Times New Roman"/>
          <w:sz w:val="26"/>
          <w:szCs w:val="26"/>
        </w:rPr>
      </w:pPr>
      <w:r>
        <w:rPr>
          <w:rFonts w:eastAsia="Times New Roman"/>
          <w:sz w:val="26"/>
          <w:szCs w:val="26"/>
        </w:rPr>
        <w:t xml:space="preserve">Главой Цивильского муниципального округа Чувашской Республики обязанность по представлению сведений о доходах, об имуществе и обязательствах имущественного характера на себя, </w:t>
      </w:r>
      <w:r w:rsidRPr="001B1D31">
        <w:rPr>
          <w:rFonts w:eastAsia="Times New Roman"/>
          <w:sz w:val="26"/>
          <w:szCs w:val="26"/>
        </w:rPr>
        <w:t>свою супругу и несовершеннолетних детей</w:t>
      </w:r>
      <w:r>
        <w:rPr>
          <w:rFonts w:eastAsia="Times New Roman"/>
          <w:sz w:val="26"/>
          <w:szCs w:val="26"/>
        </w:rPr>
        <w:t xml:space="preserve"> за отчетный 2022 год исполнена.</w:t>
      </w:r>
    </w:p>
    <w:p w:rsidR="00DF535F" w:rsidRDefault="00DF535F">
      <w:pPr>
        <w:tabs>
          <w:tab w:val="left" w:pos="426"/>
          <w:tab w:val="left" w:pos="9072"/>
        </w:tabs>
        <w:spacing w:after="0" w:line="240" w:lineRule="auto"/>
        <w:ind w:firstLine="708"/>
        <w:jc w:val="both"/>
        <w:rPr>
          <w:rFonts w:eastAsia="Times New Roman"/>
          <w:sz w:val="26"/>
          <w:szCs w:val="26"/>
        </w:rPr>
      </w:pPr>
      <w:r>
        <w:rPr>
          <w:rFonts w:eastAsia="Times New Roman"/>
          <w:sz w:val="26"/>
          <w:szCs w:val="26"/>
        </w:rPr>
        <w:t>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DF535F" w:rsidRDefault="00DF535F" w:rsidP="00DF535F">
      <w:pPr>
        <w:tabs>
          <w:tab w:val="left" w:pos="426"/>
          <w:tab w:val="left" w:pos="9072"/>
        </w:tabs>
        <w:spacing w:after="0" w:line="240" w:lineRule="auto"/>
        <w:ind w:firstLine="708"/>
        <w:rPr>
          <w:rFonts w:eastAsia="Times New Roman"/>
          <w:sz w:val="26"/>
          <w:szCs w:val="26"/>
        </w:rPr>
      </w:pPr>
      <w:r>
        <w:rPr>
          <w:rFonts w:eastAsia="Times New Roman"/>
          <w:sz w:val="26"/>
          <w:szCs w:val="26"/>
        </w:rPr>
        <w:t xml:space="preserve">Официальный интернет-портал правовой информации в сети «Интернет»: </w:t>
      </w:r>
      <w:hyperlink r:id="rId9">
        <w:r>
          <w:rPr>
            <w:rFonts w:eastAsia="Times New Roman"/>
            <w:color w:val="0000CC"/>
            <w:sz w:val="26"/>
            <w:szCs w:val="26"/>
            <w:u w:val="single"/>
          </w:rPr>
          <w:t>http://pravo.gov.ru/proxy/ips/?docbody=&amp;link_id=0&amp;nd=603637722</w:t>
        </w:r>
      </w:hyperlink>
      <w:r>
        <w:rPr>
          <w:rFonts w:eastAsia="Times New Roman"/>
          <w:color w:val="0000CC"/>
          <w:sz w:val="26"/>
          <w:szCs w:val="26"/>
        </w:rPr>
        <w:t>.</w:t>
      </w:r>
      <w:r>
        <w:rPr>
          <w:rFonts w:eastAsia="Times New Roman"/>
          <w:sz w:val="26"/>
          <w:szCs w:val="26"/>
        </w:rPr>
        <w:t xml:space="preserve"> </w:t>
      </w:r>
    </w:p>
    <w:p w:rsidR="00DF535F" w:rsidRDefault="00DF535F" w:rsidP="00DF535F">
      <w:bookmarkStart w:id="1" w:name="_gjdgxs" w:colFirst="0" w:colLast="0"/>
      <w:bookmarkEnd w:id="1"/>
    </w:p>
    <w:p w:rsidR="00243221" w:rsidRPr="001C34A2" w:rsidRDefault="00243221" w:rsidP="001C34A2">
      <w:bookmarkStart w:id="2" w:name="_GoBack"/>
      <w:bookmarkEnd w:id="2"/>
    </w:p>
    <w:sectPr w:rsidR="00243221" w:rsidRPr="001C34A2" w:rsidSect="003E389F">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DF535F"/>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B75235-CB0A-4FCC-9051-1D84BB9D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CF6D8D188462F8E7D9D136CB0E2285E6DBBC9285BFAC9F93DC1DBD173ADA4B2768B26E81717A03A9EC86D1B8C3157F10B0F2746FG" TargetMode="External"/><Relationship Id="rId3" Type="http://schemas.openxmlformats.org/officeDocument/2006/relationships/webSettings" Target="webSettings.xml"/><Relationship Id="rId7" Type="http://schemas.openxmlformats.org/officeDocument/2006/relationships/hyperlink" Target="consultantplus://offline/ref=3389ACD008F9A04338BAD1609B74DA66F4EF8EDD3ECC057CD8BADDEBCDD5B9F9DFD3DA4BF65A3C8F1A633CBC67883B2B42E2E386D17A65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C509ABD91FA6677D16C04BDEB5E14E0C6822B6FHBoFG" TargetMode="External"/><Relationship Id="rId11" Type="http://schemas.openxmlformats.org/officeDocument/2006/relationships/theme" Target="theme/theme1.xml"/><Relationship Id="rId5" Type="http://schemas.openxmlformats.org/officeDocument/2006/relationships/hyperlink" Target="consultantplus://offline/ref=221F804642B1001FE028B01F93E74154EEE7AE340E693F33352C44F53C940CF43119926F90616F0CA704CBF0CCFC32248B390CA3EB4016HEo6G" TargetMode="External"/><Relationship Id="rId10" Type="http://schemas.openxmlformats.org/officeDocument/2006/relationships/fontTable" Target="fontTable.xml"/><Relationship Id="rId4" Type="http://schemas.openxmlformats.org/officeDocument/2006/relationships/hyperlink" Target="consultantplus://offline/ref=221F804642B1001FE028B01F93E74154EEE7AE340E693E3A312144F53C940CF43119926F90616F0CAC509AB59DFA6677D16C04BDEB5E14E0C6822B6FHBoFG" TargetMode="External"/><Relationship Id="rId9" Type="http://schemas.openxmlformats.org/officeDocument/2006/relationships/hyperlink" Target="http://pravo.gov.ru/proxy/ips/?docbody=&amp;link_id=0&amp;nd=603637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730</Words>
  <Characters>4167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2024-03-21T04:48:00Z</dcterms:modified>
</cp:coreProperties>
</file>