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623" w:rsidRDefault="00562623" w:rsidP="00562623">
      <w:pPr>
        <w:pStyle w:val="2"/>
        <w:spacing w:before="0" w:beforeAutospacing="0" w:after="0" w:afterAutospacing="0" w:line="570" w:lineRule="atLeast"/>
        <w:textAlignment w:val="baseline"/>
        <w:rPr>
          <w:rFonts w:ascii="Arial" w:hAnsi="Arial" w:cs="Arial"/>
          <w:color w:val="2B3982"/>
          <w:sz w:val="39"/>
          <w:szCs w:val="39"/>
        </w:rPr>
      </w:pPr>
      <w:r>
        <w:rPr>
          <w:rFonts w:ascii="inherit" w:hAnsi="inherit" w:cs="Arial"/>
          <w:color w:val="2B3981"/>
          <w:sz w:val="39"/>
          <w:szCs w:val="39"/>
          <w:bdr w:val="none" w:sz="0" w:space="0" w:color="auto" w:frame="1"/>
        </w:rPr>
        <w:t>Обобщенная информация о предоставлении сведений о доходах, расходах, об имуществе и обязательствах имущественного характера в 2023 году</w:t>
      </w:r>
    </w:p>
    <w:p w:rsidR="00562623" w:rsidRDefault="00562623" w:rsidP="00562623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inherit" w:hAnsi="inherit" w:cs="Arial"/>
          <w:color w:val="2B3981"/>
          <w:sz w:val="30"/>
          <w:szCs w:val="30"/>
          <w:bdr w:val="none" w:sz="0" w:space="0" w:color="auto" w:frame="1"/>
        </w:rPr>
        <w:t>Обобщенная информация</w:t>
      </w:r>
    </w:p>
    <w:p w:rsidR="00562623" w:rsidRDefault="00562623" w:rsidP="00562623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inherit" w:hAnsi="inherit" w:cs="Arial"/>
          <w:color w:val="2B3981"/>
          <w:sz w:val="30"/>
          <w:szCs w:val="30"/>
          <w:bdr w:val="none" w:sz="0" w:space="0" w:color="auto" w:frame="1"/>
        </w:rPr>
        <w:t>об исполнении депутатами Думы городского округа Самара седьмого созыва</w:t>
      </w:r>
    </w:p>
    <w:p w:rsidR="00562623" w:rsidRDefault="00562623" w:rsidP="00562623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inherit" w:hAnsi="inherit" w:cs="Arial"/>
          <w:color w:val="2B3981"/>
          <w:sz w:val="30"/>
          <w:szCs w:val="30"/>
          <w:bdr w:val="none" w:sz="0" w:space="0" w:color="auto" w:frame="1"/>
        </w:rPr>
        <w:t>обязанности представить сведения о доходах, расходах, об имуществе и обязательствах имущественного характера</w:t>
      </w:r>
    </w:p>
    <w:p w:rsidR="00562623" w:rsidRDefault="00562623" w:rsidP="0056262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1"/>
        <w:gridCol w:w="1455"/>
      </w:tblGrid>
      <w:tr w:rsidR="00562623" w:rsidTr="00562623">
        <w:trPr>
          <w:trHeight w:val="1020"/>
        </w:trPr>
        <w:tc>
          <w:tcPr>
            <w:tcW w:w="1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562623" w:rsidRDefault="0056262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Количество депутатов осуществляющих деятельность в Думе городского округа Самара седьмого созыва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623" w:rsidRDefault="0056262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</w:t>
            </w:r>
          </w:p>
        </w:tc>
      </w:tr>
      <w:tr w:rsidR="00562623" w:rsidTr="00562623">
        <w:trPr>
          <w:trHeight w:val="1020"/>
        </w:trPr>
        <w:tc>
          <w:tcPr>
            <w:tcW w:w="1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562623" w:rsidRDefault="0056262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Количество депутатов Думы городского округа Самара седьмого созыва на 31 декабря отчетного года, осуществляющих деятельность на профессиональной (постоянной) основе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623" w:rsidRDefault="0056262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62623" w:rsidTr="00562623">
        <w:trPr>
          <w:trHeight w:val="2025"/>
        </w:trPr>
        <w:tc>
          <w:tcPr>
            <w:tcW w:w="1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562623" w:rsidRDefault="0056262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Количество депутатов Думы городского округа Самара седьмого созыва, осуществляющих деятельность на профессиональной (постоянной) основе, которые исполнили обязанность представить сведения о доходах, расходах, об имуществе и обязательствах имущественного характера</w:t>
            </w:r>
            <w:bookmarkStart w:id="0" w:name="_GoBack"/>
            <w:bookmarkEnd w:id="0"/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623" w:rsidRDefault="0056262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62623" w:rsidTr="00562623">
        <w:trPr>
          <w:trHeight w:val="1020"/>
        </w:trPr>
        <w:tc>
          <w:tcPr>
            <w:tcW w:w="1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562623" w:rsidRDefault="0056262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Количество депутатов Думы городского округа Самара седьмого созыва на 31 декабря отчетного года осуществляющих деятельность без отрыва от основной деятельности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623" w:rsidRDefault="0056262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35</w:t>
            </w:r>
          </w:p>
        </w:tc>
      </w:tr>
      <w:tr w:rsidR="00562623" w:rsidTr="00562623">
        <w:trPr>
          <w:trHeight w:val="2492"/>
        </w:trPr>
        <w:tc>
          <w:tcPr>
            <w:tcW w:w="1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562623" w:rsidRDefault="0056262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Количество депутатов Думы городского округа Самара седьмого созыва, осуществляющих деятельность без отрыва от основной деятельности, в случаях, указанных в </w:t>
            </w:r>
            <w:hyperlink r:id="rId4" w:history="1">
              <w:r>
                <w:rPr>
                  <w:rStyle w:val="a5"/>
                  <w:rFonts w:ascii="inherit" w:hAnsi="inherit" w:cs="Arial"/>
                  <w:color w:val="2B3981"/>
                  <w:sz w:val="21"/>
                  <w:szCs w:val="21"/>
                  <w:bdr w:val="none" w:sz="0" w:space="0" w:color="auto" w:frame="1"/>
                </w:rPr>
                <w:t>части 4.2 статьи 12.1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</w:rPr>
              <w:t> Федерального закона «О противодействии коррупции», которые представили сведения о доходах, расходах, об имуществе и обязательствах имущественного характера в Советы депутатов внутригородских районов городского округа Самара (ч.13.1 Закона Самарской области от 10.03.2009 № 23-ГД «О противодействии коррупции»)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623" w:rsidRDefault="0056262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62623" w:rsidTr="00562623">
        <w:trPr>
          <w:trHeight w:val="465"/>
        </w:trPr>
        <w:tc>
          <w:tcPr>
            <w:tcW w:w="1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562623" w:rsidRDefault="0056262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Количество депутатов Думы городского округа Самара седьмого созыва, осуществляющих деятельность без отрыва от основной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деятельности, которые представили в Советы депутатов внутригородских районов городского округа Самара (ч.13.1 Закона Самарской области от 10.03.2009 № 23-ГД «О противодействии коррупции») уведомление о том, что в течение отчетного периода им, его супругой (супругом) и (или) несовершеннолетними детьми не совершались сделки, общая сумма которых превышает общий доход депутата и его супруги (супруга) за три года, предшествующих отчетному периоду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623" w:rsidRDefault="0056262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36</w:t>
            </w:r>
          </w:p>
        </w:tc>
      </w:tr>
    </w:tbl>
    <w:p w:rsidR="00562623" w:rsidRDefault="00562623" w:rsidP="0056262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62623" w:rsidRDefault="00562623" w:rsidP="00562623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hyperlink r:id="rId5" w:history="1">
        <w:r>
          <w:rPr>
            <w:rStyle w:val="a4"/>
            <w:rFonts w:ascii="inherit" w:hAnsi="inherit" w:cs="Arial"/>
            <w:color w:val="2B3981"/>
            <w:sz w:val="21"/>
            <w:szCs w:val="21"/>
            <w:bdr w:val="none" w:sz="0" w:space="0" w:color="auto" w:frame="1"/>
          </w:rPr>
          <w:t>Обобщенная информация о предоставлении муниципальными служащими сведений о доходах, расходах, об имуществе и обязательствах имущественного характера в 2023 году</w:t>
        </w:r>
      </w:hyperlink>
    </w:p>
    <w:p w:rsidR="00562623" w:rsidRDefault="00562623" w:rsidP="0056262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62623" w:rsidRDefault="00562623" w:rsidP="0056262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hyperlink r:id="rId6" w:history="1">
        <w:r>
          <w:rPr>
            <w:rStyle w:val="a5"/>
            <w:rFonts w:ascii="inherit" w:hAnsi="inherit" w:cs="Arial"/>
            <w:color w:val="2B3981"/>
            <w:sz w:val="21"/>
            <w:szCs w:val="21"/>
            <w:bdr w:val="none" w:sz="0" w:space="0" w:color="auto" w:frame="1"/>
          </w:rPr>
          <w:t>http://publication.pravo.gov.ru/Document/View/0001202212290095</w:t>
        </w:r>
      </w:hyperlink>
    </w:p>
    <w:p w:rsidR="00562623" w:rsidRDefault="00562623" w:rsidP="0056262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62623" w:rsidRDefault="00562623" w:rsidP="0056262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основании подпункта «ж» пункта 1 Указа Президента Российской Федерации 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операции», в период проведения специальной военной операции и впредь до издания соответствующих нормативных правовых актов Российской Федерации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 </w:t>
      </w:r>
      <w:hyperlink r:id="rId7" w:history="1">
        <w:r>
          <w:rPr>
            <w:rStyle w:val="a5"/>
            <w:rFonts w:ascii="inherit" w:hAnsi="inherit" w:cs="Arial"/>
            <w:color w:val="2B3981"/>
            <w:sz w:val="21"/>
            <w:szCs w:val="21"/>
            <w:bdr w:val="none" w:sz="0" w:space="0" w:color="auto" w:frame="1"/>
          </w:rPr>
          <w:t>законом</w:t>
        </w:r>
      </w:hyperlink>
      <w:r>
        <w:rPr>
          <w:rFonts w:ascii="Arial" w:hAnsi="Arial" w:cs="Arial"/>
          <w:color w:val="000000"/>
          <w:sz w:val="21"/>
          <w:szCs w:val="21"/>
        </w:rPr>
        <w:t> от 25 декабря 2008 г. N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2623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EDD42-05A9-425B-A4A7-4A1EF99D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92F5A1264E8CFA9E9BB9B67E5686D7E36A78FA55656B8C5BA1B1D0E8C8ECEAEA17BBEB21692121BDD61BFC34Fn2a8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2212290095" TargetMode="External"/><Relationship Id="rId5" Type="http://schemas.openxmlformats.org/officeDocument/2006/relationships/hyperlink" Target="http://publication.pravo.gov.ru/Document/View/0001202212290095" TargetMode="External"/><Relationship Id="rId4" Type="http://schemas.openxmlformats.org/officeDocument/2006/relationships/hyperlink" Target="consultantplus://offline/ref=6F611356638D625FEA8439B709FD9A4BD5401EBC6340E69C024C3DEED5889705F3012808BDF47434FE60E323CE9FFDE6AE312DF8F617t5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2024-02-07T05:15:00Z</dcterms:modified>
</cp:coreProperties>
</file>