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CC" w:rsidRDefault="00D013CC" w:rsidP="00D013CC">
      <w:pPr>
        <w:pStyle w:val="4"/>
        <w:shd w:val="clear" w:color="auto" w:fill="FFFFFF"/>
        <w:spacing w:before="150" w:after="150"/>
        <w:rPr>
          <w:color w:val="333333"/>
          <w:sz w:val="27"/>
          <w:szCs w:val="27"/>
          <w:lang w:eastAsia="ru-RU"/>
        </w:rPr>
      </w:pPr>
      <w:r>
        <w:rPr>
          <w:b/>
          <w:bCs/>
          <w:i w:val="0"/>
          <w:iCs w:val="0"/>
          <w:color w:val="333333"/>
          <w:sz w:val="27"/>
          <w:szCs w:val="27"/>
        </w:rPr>
        <w:t>Обобщенная информация об исполнении (ненадлежащем исполнении) депутатами Волгоградской городской Думы обязанности представить сведения о доходах, расходах, об имуществе и обязательствах имущественного характера за 2022 год</w:t>
      </w:r>
    </w:p>
    <w:p w:rsidR="00243221" w:rsidRPr="001C34A2" w:rsidRDefault="00D013CC" w:rsidP="00D013CC">
      <w:r>
        <w:rPr>
          <w:color w:val="333333"/>
          <w:sz w:val="21"/>
          <w:szCs w:val="21"/>
        </w:rPr>
        <w:br/>
      </w:r>
      <w:bookmarkStart w:id="0" w:name="_GoBack"/>
      <w:r>
        <w:rPr>
          <w:noProof/>
          <w:color w:val="CC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9262167" cy="5771330"/>
            <wp:effectExtent l="0" t="0" r="0" b="0"/>
            <wp:docPr id="1" name="Рисунок 1" descr="Обобщенная информация об исполнении (ненадлежащем исполнении) депутатами Волгоградской городской Думы обязанности представить сведения о доходах, расходах, об имуществе и обязательствах имущественного характера за 2022 год">
              <a:hlinkClick xmlns:a="http://schemas.openxmlformats.org/drawingml/2006/main" r:id="rId4" tooltip="&quot;Обобщенная информация об исполнении (ненадлежащем исполнении) депутатами Волгоградской городской Думы обязанности представить сведения о доходах, расходах, об имуществе и обязательствах имущественного характера за 2022 год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общенная информация об исполнении (ненадлежащем исполнении) депутатами Волгоградской городской Думы обязанности представить сведения о доходах, расходах, об имуществе и обязательствах имущественного характера за 2022 год">
                      <a:hlinkClick r:id="rId4" tooltip="&quot;Обобщенная информация об исполнении (ненадлежащем исполнении) депутатами Волгоградской городской Думы обязанности представить сведения о доходах, расходах, об имуществе и обязательствах имущественного характера за 2022 год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94" cy="578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13C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8A869-A630-4B95-8F67-3FF10AFB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3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013C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volgsovet.ru/file/NG5Ji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2023-08-31T07:25:00Z</dcterms:modified>
</cp:coreProperties>
</file>